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1261" w:firstLineChars="600"/>
        <w:jc w:val="both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b/>
          <w:bCs/>
          <w:color w:val="0000FF"/>
          <w:sz w:val="21"/>
          <w:szCs w:val="21"/>
        </w:rPr>
        <w:drawing>
          <wp:anchor distT="0" distB="0" distL="114300" distR="114300" simplePos="0" relativeHeight="204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123825</wp:posOffset>
            </wp:positionV>
            <wp:extent cx="1071245" cy="799465"/>
            <wp:effectExtent l="0" t="0" r="14605" b="635"/>
            <wp:wrapNone/>
            <wp:docPr id="43" name="图片 43" descr="6edc5274ddc6a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6edc5274ddc6a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0000FF"/>
          <w:sz w:val="21"/>
          <w:szCs w:val="21"/>
          <w:lang w:val="en-US" w:eastAsia="zh-CN"/>
        </w:rPr>
        <w:t>®</w:t>
      </w:r>
      <w:r>
        <w:rPr>
          <w:rFonts w:hint="eastAsia" w:eastAsia="宋体"/>
          <w:sz w:val="21"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       </w:t>
      </w:r>
      <w:r>
        <w:rPr>
          <w:rFonts w:hint="eastAsia" w:eastAsia="宋体"/>
          <w:b/>
          <w:bCs/>
          <w:sz w:val="52"/>
          <w:szCs w:val="52"/>
          <w:lang w:val="en-US" w:eastAsia="zh-CN"/>
        </w:rPr>
        <w:t>珠海三语电子科技有限公司</w:t>
      </w:r>
    </w:p>
    <w:p>
      <w:pPr>
        <w:pStyle w:val="6"/>
        <w:jc w:val="center"/>
        <w:rPr>
          <w:b/>
          <w:bCs/>
          <w:color w:val="560000"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1421765</wp:posOffset>
                </wp:positionH>
                <wp:positionV relativeFrom="paragraph">
                  <wp:posOffset>236220</wp:posOffset>
                </wp:positionV>
                <wp:extent cx="4376420" cy="0"/>
                <wp:effectExtent l="0" t="0" r="0" b="0"/>
                <wp:wrapTopAndBottom/>
                <wp:docPr id="4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642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3366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1.95pt;margin-top:18.6pt;height:0pt;width:344.6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/waYtYAAAAJAQAADwAAAAAAAAABACAA&#10;AAAiAAAAZHJzL2Rvd25yZXYueG1sUEsBAhQAFAAAAAgAh07iQK1TLbDWAQAAnAMAAA4AAAAAAAAA&#10;AQAgAAAAJQEAAGRycy9lMm9Eb2MueG1sUEsFBgAAAAAGAAYAWQEAAG0FAAAAAA==&#10;">
                <v:fill on="f" focussize="0,0"/>
                <v:stroke weight="0.72pt" color="#3366F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eastAsia="宋体"/>
          <w:lang w:val="en-US" w:eastAsia="zh-CN"/>
        </w:rPr>
        <w:t xml:space="preserve">                               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>ZHU HAI SANYU</w:t>
      </w:r>
      <w:r>
        <w:rPr>
          <w:b/>
          <w:bCs/>
          <w:color w:val="560000"/>
          <w:sz w:val="32"/>
          <w:szCs w:val="32"/>
        </w:rPr>
        <w:t xml:space="preserve"> ELECTRONIC TECHNOLOGY CO.,LTD</w:t>
      </w:r>
    </w:p>
    <w:p>
      <w:pPr>
        <w:pStyle w:val="6"/>
        <w:jc w:val="center"/>
        <w:rPr>
          <w:rFonts w:hint="eastAsia"/>
          <w:b/>
          <w:bCs/>
          <w:color w:val="560000"/>
          <w:sz w:val="32"/>
          <w:szCs w:val="32"/>
          <w:u w:val="none"/>
          <w:lang w:val="en-US" w:eastAsia="zh-CN"/>
        </w:rPr>
      </w:pP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t xml:space="preserve">             </w:t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fldChar w:fldCharType="begin"/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instrText xml:space="preserve"> HYPERLINK "http://WWW.SANYUDZ.COM" </w:instrText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fldChar w:fldCharType="separate"/>
      </w:r>
      <w:r>
        <w:rPr>
          <w:rStyle w:val="9"/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t>WWW.SANYUDZ.COM</w:t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fldChar w:fldCharType="end"/>
      </w:r>
      <w:r>
        <w:rPr>
          <w:rFonts w:hint="eastAsia" w:ascii="Times New Roman" w:eastAsia="宋体"/>
          <w:b/>
          <w:bCs/>
          <w:color w:val="000000" w:themeColor="text1"/>
          <w:sz w:val="20"/>
          <w:u w:val="none"/>
          <w:lang w:val="en-US" w:eastAsia="zh-CN"/>
        </w:rPr>
        <w:t xml:space="preserve">                         </w:t>
      </w:r>
      <w:r>
        <w:rPr>
          <w:rFonts w:hint="eastAsia" w:ascii="Times New Roman" w:eastAsia="宋体"/>
          <w:b/>
          <w:bCs/>
          <w:sz w:val="20"/>
          <w:u w:val="none"/>
          <w:lang w:val="en-US" w:eastAsia="zh-CN"/>
        </w:rPr>
        <w:t>0756-6242612                           andymiao@sanyudz.com</w:t>
      </w:r>
    </w:p>
    <w:p>
      <w:pPr>
        <w:spacing w:before="72" w:line="225" w:lineRule="exact"/>
        <w:ind w:right="0"/>
        <w:jc w:val="left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2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0"/>
        </w:rPr>
      </w:pPr>
    </w:p>
    <w:tbl>
      <w:tblPr>
        <w:tblStyle w:val="7"/>
        <w:tblW w:w="3780" w:type="dxa"/>
        <w:tblInd w:w="6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780" w:type="dxa"/>
          </w:tcPr>
          <w:p>
            <w:pPr>
              <w:pStyle w:val="12"/>
              <w:spacing w:before="137"/>
              <w:ind w:left="107"/>
              <w:rPr>
                <w:sz w:val="30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page">
                        <wp:posOffset>-2630170</wp:posOffset>
                      </wp:positionH>
                      <wp:positionV relativeFrom="paragraph">
                        <wp:posOffset>105410</wp:posOffset>
                      </wp:positionV>
                      <wp:extent cx="1371600" cy="980440"/>
                      <wp:effectExtent l="17145" t="17145" r="20955" b="31115"/>
                      <wp:wrapNone/>
                      <wp:docPr id="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980440"/>
                              </a:xfrm>
                              <a:prstGeom prst="rect">
                                <a:avLst/>
                              </a:prstGeom>
                              <a:noFill/>
                              <a:ln w="34290" cap="flat" cmpd="thinThick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49"/>
                                    <w:ind w:left="532" w:leftChars="242" w:right="0" w:firstLine="1325" w:firstLineChars="300"/>
                                    <w:jc w:val="lef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color w:val="00FF00"/>
                                      <w:sz w:val="4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00FF00"/>
                                      <w:sz w:val="44"/>
                                    </w:rPr>
                                    <w:t>RoHS</w:t>
                                  </w:r>
                                </w:p>
                              </w:txbxContent>
                            </wps:txbx>
                            <wps:bodyPr vert="horz" lIns="0" tIns="0" rIns="0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07.1pt;margin-top:8.3pt;height:77.2pt;width:108pt;mso-position-horizontal-relative:page;z-index:251658240;mso-width-relative:page;mso-height-relative:page;" filled="f" stroked="t" coordsize="21600,21600" o:gfxdata="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C4/VtoAAAAMAQAADwAAAAAAAAAB&#10;ACAAAAAiAAAAZHJzL2Rvd25yZXYueG1sUEsBAhQAFAAAAAgAh07iQNHVvo0OAgAAAQQAAA4AAAAA&#10;AAAAAQAgAAAAKQEAAGRycy9lMm9Eb2MueG1sUEsFBgAAAAAGAAYAWQEAAKkFAAAAAA==&#10;">
                      <v:fill on="f" focussize="0,0"/>
                      <v:stroke weight="2.7pt" color="#000000" linestyle="thinThick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49"/>
                              <w:ind w:left="532" w:leftChars="242" w:right="0" w:firstLine="1325" w:firstLineChars="300"/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FF00"/>
                                <w:sz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00FF00"/>
                                <w:sz w:val="44"/>
                              </w:rPr>
                              <w:t>RoHS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0"/>
              </w:rPr>
              <w:t>Approved by: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80" w:type="dxa"/>
          </w:tcPr>
          <w:p>
            <w:pPr>
              <w:pStyle w:val="12"/>
              <w:spacing w:before="137"/>
              <w:ind w:left="107"/>
              <w:rPr>
                <w:sz w:val="30"/>
              </w:rPr>
            </w:pPr>
            <w:r>
              <w:rPr>
                <w:sz w:val="30"/>
              </w:rPr>
              <w:t>Checked by: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780" w:type="dxa"/>
          </w:tcPr>
          <w:p>
            <w:pPr>
              <w:pStyle w:val="12"/>
              <w:spacing w:before="137"/>
              <w:ind w:left="107"/>
              <w:rPr>
                <w:sz w:val="30"/>
              </w:rPr>
            </w:pPr>
            <w:r>
              <w:rPr>
                <w:sz w:val="30"/>
              </w:rPr>
              <w:t>Issued by: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  <w:bookmarkStart w:id="0" w:name="_GoBack"/>
      <w:bookmarkEnd w:id="0"/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17"/>
        </w:rPr>
      </w:pPr>
    </w:p>
    <w:p>
      <w:pPr>
        <w:spacing w:before="55"/>
        <w:ind w:left="2655" w:right="2785" w:firstLine="0"/>
        <w:jc w:val="center"/>
        <w:rPr>
          <w:rFonts w:ascii="黑体"/>
          <w:sz w:val="32"/>
        </w:rPr>
      </w:pPr>
      <w:r>
        <w:rPr>
          <w:rFonts w:ascii="黑体"/>
          <w:sz w:val="32"/>
        </w:rPr>
        <w:t>Surface-Acoustic-Wave Resonator</w:t>
      </w:r>
    </w:p>
    <w:p>
      <w:pPr>
        <w:spacing w:before="182"/>
        <w:ind w:left="2653" w:right="2785" w:firstLine="0"/>
        <w:jc w:val="center"/>
        <w:rPr>
          <w:rFonts w:ascii="黑体"/>
          <w:sz w:val="44"/>
        </w:rPr>
      </w:pPr>
      <w:r>
        <w:rPr>
          <w:rFonts w:ascii="黑体"/>
          <w:sz w:val="44"/>
        </w:rPr>
        <w:t>SPECIFICATION</w:t>
      </w:r>
    </w:p>
    <w:p>
      <w:pPr>
        <w:pStyle w:val="5"/>
        <w:spacing w:before="12"/>
        <w:rPr>
          <w:rFonts w:ascii="黑体"/>
          <w:sz w:val="30"/>
        </w:rPr>
      </w:pPr>
    </w:p>
    <w:p>
      <w:pPr>
        <w:pStyle w:val="2"/>
        <w:ind w:left="2653" w:right="2785"/>
        <w:jc w:val="center"/>
        <w:rPr>
          <w:rFonts w:ascii="黑体"/>
        </w:rPr>
      </w:pPr>
      <w:r>
        <w:rPr>
          <w:rFonts w:ascii="黑体"/>
        </w:rPr>
        <w:t>R315T2</w:t>
      </w:r>
    </w:p>
    <w:p>
      <w:pPr>
        <w:pStyle w:val="5"/>
        <w:spacing w:before="5"/>
        <w:rPr>
          <w:rFonts w:ascii="黑体"/>
          <w:sz w:val="24"/>
        </w:rPr>
      </w:pPr>
    </w:p>
    <w:p>
      <w:pPr>
        <w:spacing w:before="0"/>
        <w:ind w:left="2653" w:right="2785" w:firstLine="0"/>
        <w:jc w:val="center"/>
        <w:rPr>
          <w:rFonts w:ascii="黑体"/>
          <w:sz w:val="32"/>
        </w:rPr>
      </w:pPr>
      <w:r>
        <w:rPr>
          <w:rFonts w:ascii="黑体"/>
          <w:sz w:val="32"/>
        </w:rPr>
        <w:t>SMD 7.5X3.5</w:t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11"/>
        <w:rPr>
          <w:rFonts w:ascii="黑体"/>
          <w:sz w:val="19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0" r="0" b="0"/>
                <wp:wrapTopAndBottom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6.7pt;margin-top:15.05pt;height:0pt;width:48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1YNUo1QAAAAoBAAAPAAAAAAAAAAEAIAAAACIAAABkcnMv&#10;ZG93bnJldi54bWxQSwECFAAUAAAACACHTuJAETju7M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rFonts w:ascii="黑体"/>
          <w:sz w:val="19"/>
        </w:rPr>
        <w:sectPr>
          <w:type w:val="continuous"/>
          <w:pgSz w:w="11900" w:h="16840"/>
          <w:pgMar w:top="140" w:right="660" w:bottom="280" w:left="800" w:header="720" w:footer="720" w:gutter="0"/>
        </w:sectPr>
      </w:pP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7"/>
        <w:rPr>
          <w:rFonts w:ascii="黑体"/>
          <w:sz w:val="25"/>
        </w:rPr>
      </w:pPr>
    </w:p>
    <w:p>
      <w:pPr>
        <w:pStyle w:val="4"/>
        <w:spacing w:before="94" w:line="300" w:lineRule="auto"/>
        <w:ind w:right="7954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5520690</wp:posOffset>
                </wp:positionH>
                <wp:positionV relativeFrom="paragraph">
                  <wp:posOffset>-274955</wp:posOffset>
                </wp:positionV>
                <wp:extent cx="1259205" cy="594360"/>
                <wp:effectExtent l="4445" t="4445" r="12700" b="10795"/>
                <wp:wrapNone/>
                <wp:docPr id="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0" w:line="204" w:lineRule="auto"/>
                              <w:ind w:left="622" w:right="0" w:hanging="431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110"/>
                                <w:sz w:val="28"/>
                              </w:rPr>
                              <w:t>315.00 MHz SAW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0" w:line="283" w:lineRule="exact"/>
                              <w:ind w:left="182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w w:val="120"/>
                                <w:sz w:val="28"/>
                              </w:rPr>
                              <w:t>Resonator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34.7pt;margin-top:-21.65pt;height:46.8pt;width:99.15pt;mso-position-horizontal-relative:page;z-index:251660288;mso-width-relative:page;mso-height-relative:page;" filled="f" stroked="t" coordsize="21600,21600" o:gfxdata="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7G0UPbAAAACwEAAA8AAAAAAAAAAQAgAAAAIgAAAGRycy9kb3ducmV2&#10;LnhtbFBLAQIUABQAAAAIAIdO4kBD8ep4+QEAAOMDAAAOAAAAAAAAAAEAIAAAACo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0" w:line="204" w:lineRule="auto"/>
                        <w:ind w:left="622" w:right="0" w:hanging="431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w w:val="110"/>
                          <w:sz w:val="28"/>
                        </w:rPr>
                        <w:t>315.00 MHz SAW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>
                      <w:pPr>
                        <w:spacing w:before="0" w:line="283" w:lineRule="exact"/>
                        <w:ind w:left="182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w w:val="120"/>
                          <w:sz w:val="28"/>
                        </w:rPr>
                        <w:t>Resonator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Low Series Resistance </w:t>
      </w:r>
      <w:r>
        <w:t>Quartz Stability</w:t>
      </w:r>
    </w:p>
    <w:p>
      <w:pPr>
        <w:spacing w:before="1"/>
        <w:ind w:left="51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Rugged, Hermetic, Low-profile SMD7.5X3.5 Case</w:t>
      </w:r>
    </w:p>
    <w:p>
      <w:pPr>
        <w:pStyle w:val="5"/>
        <w:rPr>
          <w:b/>
          <w:i/>
          <w:sz w:val="20"/>
        </w:rPr>
      </w:pPr>
    </w:p>
    <w:p>
      <w:pPr>
        <w:pStyle w:val="5"/>
        <w:spacing w:before="133" w:line="300" w:lineRule="auto"/>
        <w:ind w:left="333" w:right="138"/>
      </w:pPr>
      <w:r>
        <w:t>The R315T2 is a true one-port, surface-acoustic-wave (SAW) resonator in a surface-mount epoxy board. It provides reliable, fundamental-mode, quartz frequency stabilization i.e. in transmitters or local oscillators operating at 315.000 MHz.</w:t>
      </w:r>
    </w:p>
    <w:p>
      <w:pPr>
        <w:pStyle w:val="5"/>
        <w:rPr>
          <w:sz w:val="16"/>
        </w:rPr>
      </w:pPr>
    </w:p>
    <w:p>
      <w:pPr>
        <w:pStyle w:val="5"/>
        <w:rPr>
          <w:sz w:val="16"/>
        </w:rPr>
      </w:pPr>
    </w:p>
    <w:p>
      <w:pPr>
        <w:spacing w:before="0" w:after="52"/>
        <w:ind w:left="334" w:right="0" w:firstLine="0"/>
        <w:jc w:val="left"/>
        <w:rPr>
          <w:b/>
          <w:sz w:val="18"/>
        </w:rPr>
      </w:pPr>
      <w:r>
        <w:rPr>
          <w:b/>
          <w:sz w:val="18"/>
        </w:rPr>
        <w:t>Absolute Maximum Ratings</w:t>
      </w:r>
    </w:p>
    <w:tbl>
      <w:tblPr>
        <w:tblStyle w:val="7"/>
        <w:tblW w:w="7621" w:type="dxa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0"/>
        <w:gridCol w:w="1212"/>
        <w:gridCol w:w="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510" w:type="dxa"/>
          </w:tcPr>
          <w:p>
            <w:pPr>
              <w:pStyle w:val="12"/>
              <w:spacing w:before="0" w:line="170" w:lineRule="exact"/>
              <w:ind w:left="2500" w:right="249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Rating</w:t>
            </w:r>
          </w:p>
        </w:tc>
        <w:tc>
          <w:tcPr>
            <w:tcW w:w="1212" w:type="dxa"/>
          </w:tcPr>
          <w:p>
            <w:pPr>
              <w:pStyle w:val="12"/>
              <w:spacing w:before="0" w:line="170" w:lineRule="exact"/>
              <w:ind w:left="244" w:right="2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Value</w:t>
            </w:r>
          </w:p>
        </w:tc>
        <w:tc>
          <w:tcPr>
            <w:tcW w:w="899" w:type="dxa"/>
          </w:tcPr>
          <w:p>
            <w:pPr>
              <w:pStyle w:val="12"/>
              <w:spacing w:before="0" w:line="170" w:lineRule="exact"/>
              <w:ind w:left="242" w:right="2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510" w:type="dxa"/>
          </w:tcPr>
          <w:p>
            <w:pPr>
              <w:pStyle w:val="12"/>
              <w:spacing w:before="0" w:line="171" w:lineRule="exact"/>
              <w:ind w:left="107"/>
              <w:rPr>
                <w:sz w:val="15"/>
              </w:rPr>
            </w:pPr>
            <w:r>
              <w:rPr>
                <w:sz w:val="15"/>
              </w:rPr>
              <w:t>CW RF Power Dissipation (See Typical Test Circuit)</w:t>
            </w:r>
          </w:p>
        </w:tc>
        <w:tc>
          <w:tcPr>
            <w:tcW w:w="1212" w:type="dxa"/>
          </w:tcPr>
          <w:p>
            <w:pPr>
              <w:pStyle w:val="12"/>
              <w:spacing w:before="0" w:line="171" w:lineRule="exact"/>
              <w:ind w:left="243" w:right="237"/>
              <w:jc w:val="center"/>
              <w:rPr>
                <w:sz w:val="15"/>
              </w:rPr>
            </w:pPr>
            <w:r>
              <w:rPr>
                <w:sz w:val="15"/>
              </w:rPr>
              <w:t>+0</w:t>
            </w:r>
          </w:p>
        </w:tc>
        <w:tc>
          <w:tcPr>
            <w:tcW w:w="899" w:type="dxa"/>
          </w:tcPr>
          <w:p>
            <w:pPr>
              <w:pStyle w:val="12"/>
              <w:spacing w:before="0" w:line="171" w:lineRule="exact"/>
              <w:ind w:left="238" w:right="231"/>
              <w:jc w:val="center"/>
              <w:rPr>
                <w:sz w:val="15"/>
              </w:rPr>
            </w:pPr>
            <w:r>
              <w:rPr>
                <w:sz w:val="15"/>
              </w:rPr>
              <w:t>dBm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510" w:type="dxa"/>
          </w:tcPr>
          <w:p>
            <w:pPr>
              <w:pStyle w:val="12"/>
              <w:spacing w:before="0" w:line="171" w:lineRule="exact"/>
              <w:ind w:left="107"/>
              <w:rPr>
                <w:sz w:val="15"/>
              </w:rPr>
            </w:pPr>
            <w:r>
              <w:rPr>
                <w:sz w:val="15"/>
              </w:rPr>
              <w:t>DC Voltage Between Any Two Pins (Observe ESD Precautions)</w:t>
            </w:r>
          </w:p>
        </w:tc>
        <w:tc>
          <w:tcPr>
            <w:tcW w:w="1212" w:type="dxa"/>
          </w:tcPr>
          <w:p>
            <w:pPr>
              <w:pStyle w:val="12"/>
              <w:spacing w:before="0" w:line="171" w:lineRule="exact"/>
              <w:ind w:left="244" w:right="236"/>
              <w:jc w:val="center"/>
              <w:rPr>
                <w:sz w:val="15"/>
              </w:rPr>
            </w:pPr>
            <w:r>
              <w:rPr>
                <w:sz w:val="15"/>
              </w:rPr>
              <w:t>±30</w:t>
            </w:r>
          </w:p>
        </w:tc>
        <w:tc>
          <w:tcPr>
            <w:tcW w:w="899" w:type="dxa"/>
          </w:tcPr>
          <w:p>
            <w:pPr>
              <w:pStyle w:val="12"/>
              <w:spacing w:before="0" w:line="171" w:lineRule="exact"/>
              <w:ind w:left="240" w:right="231"/>
              <w:jc w:val="center"/>
              <w:rPr>
                <w:sz w:val="15"/>
              </w:rPr>
            </w:pPr>
            <w:r>
              <w:rPr>
                <w:sz w:val="15"/>
              </w:rPr>
              <w:t>VDC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510" w:type="dxa"/>
          </w:tcPr>
          <w:p>
            <w:pPr>
              <w:pStyle w:val="12"/>
              <w:spacing w:before="26"/>
              <w:ind w:left="107"/>
              <w:rPr>
                <w:sz w:val="15"/>
              </w:rPr>
            </w:pPr>
            <w:r>
              <w:rPr>
                <w:sz w:val="15"/>
              </w:rPr>
              <w:t>Case Temperature</w:t>
            </w:r>
          </w:p>
        </w:tc>
        <w:tc>
          <w:tcPr>
            <w:tcW w:w="1212" w:type="dxa"/>
          </w:tcPr>
          <w:p>
            <w:pPr>
              <w:pStyle w:val="12"/>
              <w:spacing w:before="26"/>
              <w:ind w:left="244" w:right="237"/>
              <w:jc w:val="center"/>
              <w:rPr>
                <w:sz w:val="15"/>
              </w:rPr>
            </w:pPr>
            <w:r>
              <w:rPr>
                <w:sz w:val="15"/>
              </w:rPr>
              <w:t>-40 to +85</w:t>
            </w:r>
          </w:p>
        </w:tc>
        <w:tc>
          <w:tcPr>
            <w:tcW w:w="899" w:type="dxa"/>
          </w:tcPr>
          <w:p>
            <w:pPr>
              <w:pStyle w:val="12"/>
              <w:spacing w:before="0" w:line="191" w:lineRule="exact"/>
              <w:ind w:left="10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w w:val="99"/>
                <w:sz w:val="15"/>
              </w:rPr>
              <w:t>℃</w:t>
            </w:r>
          </w:p>
        </w:tc>
      </w:tr>
    </w:tbl>
    <w:p>
      <w:pPr>
        <w:spacing w:before="53" w:after="52"/>
        <w:ind w:left="334" w:right="0" w:firstLine="0"/>
        <w:jc w:val="left"/>
        <w:rPr>
          <w:b/>
          <w:sz w:val="18"/>
        </w:rPr>
      </w:pPr>
      <w:r>
        <w:rPr>
          <w:b/>
          <w:sz w:val="18"/>
        </w:rPr>
        <w:t>Electrical Characteristics</w:t>
      </w:r>
    </w:p>
    <w:tbl>
      <w:tblPr>
        <w:tblStyle w:val="7"/>
        <w:tblW w:w="10091" w:type="dxa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0"/>
        <w:gridCol w:w="777"/>
        <w:gridCol w:w="742"/>
        <w:gridCol w:w="1007"/>
        <w:gridCol w:w="900"/>
        <w:gridCol w:w="1080"/>
        <w:gridCol w:w="7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</w:tcPr>
          <w:p>
            <w:pPr>
              <w:pStyle w:val="12"/>
              <w:spacing w:before="70"/>
              <w:ind w:left="1856" w:right="18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Characteristics</w:t>
            </w:r>
          </w:p>
        </w:tc>
        <w:tc>
          <w:tcPr>
            <w:tcW w:w="777" w:type="dxa"/>
          </w:tcPr>
          <w:p>
            <w:pPr>
              <w:pStyle w:val="12"/>
              <w:spacing w:before="70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Sym</w:t>
            </w:r>
          </w:p>
        </w:tc>
        <w:tc>
          <w:tcPr>
            <w:tcW w:w="742" w:type="dxa"/>
          </w:tcPr>
          <w:p>
            <w:pPr>
              <w:pStyle w:val="12"/>
              <w:spacing w:before="70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Notes</w:t>
            </w:r>
          </w:p>
        </w:tc>
        <w:tc>
          <w:tcPr>
            <w:tcW w:w="1007" w:type="dxa"/>
          </w:tcPr>
          <w:p>
            <w:pPr>
              <w:pStyle w:val="12"/>
              <w:spacing w:before="70"/>
              <w:ind w:right="2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Minimum</w:t>
            </w:r>
          </w:p>
        </w:tc>
        <w:tc>
          <w:tcPr>
            <w:tcW w:w="900" w:type="dxa"/>
          </w:tcPr>
          <w:p>
            <w:pPr>
              <w:pStyle w:val="12"/>
              <w:spacing w:before="70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Typical</w:t>
            </w:r>
          </w:p>
        </w:tc>
        <w:tc>
          <w:tcPr>
            <w:tcW w:w="1080" w:type="dxa"/>
          </w:tcPr>
          <w:p>
            <w:pPr>
              <w:pStyle w:val="12"/>
              <w:spacing w:before="70"/>
              <w:ind w:right="2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Maximum</w:t>
            </w:r>
          </w:p>
        </w:tc>
        <w:tc>
          <w:tcPr>
            <w:tcW w:w="745" w:type="dxa"/>
          </w:tcPr>
          <w:p>
            <w:pPr>
              <w:pStyle w:val="12"/>
              <w:spacing w:before="70"/>
              <w:ind w:left="69" w:righ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0" w:type="dxa"/>
            <w:vMerge w:val="restart"/>
          </w:tcPr>
          <w:p>
            <w:pPr>
              <w:pStyle w:val="12"/>
              <w:spacing w:before="58"/>
              <w:ind w:left="107"/>
              <w:rPr>
                <w:sz w:val="15"/>
              </w:rPr>
            </w:pPr>
            <w:r>
              <w:rPr>
                <w:sz w:val="15"/>
              </w:rPr>
              <w:t>Center Frequency (+25</w:t>
            </w:r>
            <w:r>
              <w:rPr>
                <w:rFonts w:ascii="宋体" w:hAnsi="宋体"/>
                <w:sz w:val="15"/>
              </w:rPr>
              <w:t xml:space="preserve">℃) </w:t>
            </w:r>
            <w:r>
              <w:rPr>
                <w:sz w:val="15"/>
              </w:rPr>
              <w:t>Absolute Frequency</w:t>
            </w:r>
          </w:p>
          <w:p>
            <w:pPr>
              <w:pStyle w:val="12"/>
              <w:spacing w:before="129"/>
              <w:ind w:left="2059"/>
              <w:rPr>
                <w:sz w:val="15"/>
              </w:rPr>
            </w:pPr>
            <w:r>
              <w:rPr>
                <w:sz w:val="15"/>
              </w:rPr>
              <w:t>Tolerance from 315.000MHz</w:t>
            </w:r>
          </w:p>
        </w:tc>
        <w:tc>
          <w:tcPr>
            <w:tcW w:w="777" w:type="dxa"/>
          </w:tcPr>
          <w:p>
            <w:pPr>
              <w:pStyle w:val="12"/>
              <w:ind w:left="246" w:right="239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  <w:r>
              <w:rPr>
                <w:sz w:val="15"/>
                <w:vertAlign w:val="subscript"/>
              </w:rPr>
              <w:t>c</w:t>
            </w:r>
          </w:p>
        </w:tc>
        <w:tc>
          <w:tcPr>
            <w:tcW w:w="742" w:type="dxa"/>
            <w:vMerge w:val="restart"/>
          </w:tcPr>
          <w:p>
            <w:pPr>
              <w:pStyle w:val="12"/>
              <w:spacing w:before="0"/>
              <w:rPr>
                <w:b/>
                <w:sz w:val="16"/>
              </w:rPr>
            </w:pPr>
          </w:p>
          <w:p>
            <w:pPr>
              <w:pStyle w:val="12"/>
              <w:spacing w:before="126"/>
              <w:ind w:left="139"/>
              <w:rPr>
                <w:sz w:val="15"/>
              </w:rPr>
            </w:pPr>
            <w:r>
              <w:rPr>
                <w:sz w:val="15"/>
              </w:rPr>
              <w:t>2,3,4,5</w:t>
            </w:r>
          </w:p>
        </w:tc>
        <w:tc>
          <w:tcPr>
            <w:tcW w:w="1007" w:type="dxa"/>
          </w:tcPr>
          <w:p>
            <w:pPr>
              <w:pStyle w:val="12"/>
              <w:ind w:right="223"/>
              <w:jc w:val="right"/>
              <w:rPr>
                <w:sz w:val="15"/>
              </w:rPr>
            </w:pPr>
            <w:r>
              <w:rPr>
                <w:sz w:val="15"/>
              </w:rPr>
              <w:t>314.925</w:t>
            </w:r>
          </w:p>
        </w:tc>
        <w:tc>
          <w:tcPr>
            <w:tcW w:w="90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12"/>
              <w:ind w:right="259"/>
              <w:jc w:val="right"/>
              <w:rPr>
                <w:sz w:val="15"/>
              </w:rPr>
            </w:pPr>
            <w:r>
              <w:rPr>
                <w:sz w:val="15"/>
              </w:rPr>
              <w:t>315.075</w:t>
            </w:r>
          </w:p>
        </w:tc>
        <w:tc>
          <w:tcPr>
            <w:tcW w:w="745" w:type="dxa"/>
          </w:tcPr>
          <w:p>
            <w:pPr>
              <w:pStyle w:val="12"/>
              <w:ind w:left="70" w:right="65"/>
              <w:jc w:val="center"/>
              <w:rPr>
                <w:sz w:val="15"/>
              </w:rPr>
            </w:pPr>
            <w:r>
              <w:rPr>
                <w:sz w:val="15"/>
              </w:rPr>
              <w:t>MHz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spacing w:before="58"/>
              <w:ind w:left="247" w:right="239"/>
              <w:jc w:val="center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Δ</w:t>
            </w:r>
            <w:r>
              <w:rPr>
                <w:sz w:val="15"/>
              </w:rPr>
              <w:t>f</w:t>
            </w:r>
            <w:r>
              <w:rPr>
                <w:sz w:val="15"/>
                <w:vertAlign w:val="subscript"/>
              </w:rPr>
              <w:t>c</w:t>
            </w:r>
          </w:p>
        </w:tc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58"/>
              <w:ind w:left="359" w:right="354"/>
              <w:jc w:val="center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±</w:t>
            </w:r>
            <w:r>
              <w:rPr>
                <w:sz w:val="15"/>
              </w:rPr>
              <w:t>75</w:t>
            </w:r>
          </w:p>
        </w:tc>
        <w:tc>
          <w:tcPr>
            <w:tcW w:w="745" w:type="dxa"/>
          </w:tcPr>
          <w:p>
            <w:pPr>
              <w:pStyle w:val="12"/>
              <w:ind w:left="69" w:right="65"/>
              <w:jc w:val="center"/>
              <w:rPr>
                <w:sz w:val="15"/>
              </w:rPr>
            </w:pPr>
            <w:r>
              <w:rPr>
                <w:sz w:val="15"/>
              </w:rPr>
              <w:t>KHz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</w:tcPr>
          <w:p>
            <w:pPr>
              <w:pStyle w:val="12"/>
              <w:ind w:left="107"/>
              <w:rPr>
                <w:sz w:val="15"/>
              </w:rPr>
            </w:pPr>
            <w:r>
              <w:rPr>
                <w:sz w:val="15"/>
              </w:rPr>
              <w:t>Insertion Loss</w:t>
            </w: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IL</w:t>
            </w:r>
          </w:p>
        </w:tc>
        <w:tc>
          <w:tcPr>
            <w:tcW w:w="742" w:type="dxa"/>
          </w:tcPr>
          <w:p>
            <w:pPr>
              <w:pStyle w:val="12"/>
              <w:ind w:left="202"/>
              <w:rPr>
                <w:sz w:val="15"/>
              </w:rPr>
            </w:pPr>
            <w:r>
              <w:rPr>
                <w:sz w:val="15"/>
              </w:rPr>
              <w:t>2,5,6</w:t>
            </w: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left="301" w:right="296"/>
              <w:jc w:val="center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1080" w:type="dxa"/>
          </w:tcPr>
          <w:p>
            <w:pPr>
              <w:pStyle w:val="12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2.2</w:t>
            </w:r>
          </w:p>
        </w:tc>
        <w:tc>
          <w:tcPr>
            <w:tcW w:w="745" w:type="dxa"/>
          </w:tcPr>
          <w:p>
            <w:pPr>
              <w:pStyle w:val="12"/>
              <w:ind w:left="71" w:right="64"/>
              <w:jc w:val="center"/>
              <w:rPr>
                <w:sz w:val="15"/>
              </w:rPr>
            </w:pPr>
            <w:r>
              <w:rPr>
                <w:sz w:val="15"/>
              </w:rPr>
              <w:t>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0" w:type="dxa"/>
            <w:vMerge w:val="restart"/>
          </w:tcPr>
          <w:p>
            <w:pPr>
              <w:pStyle w:val="12"/>
              <w:tabs>
                <w:tab w:val="left" w:pos="1909"/>
              </w:tabs>
              <w:ind w:right="2010"/>
              <w:jc w:val="right"/>
              <w:rPr>
                <w:sz w:val="15"/>
              </w:rPr>
            </w:pPr>
            <w:r>
              <w:rPr>
                <w:sz w:val="15"/>
              </w:rPr>
              <w:t>Quality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Factor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Unloaded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Q</w:t>
            </w:r>
          </w:p>
          <w:p>
            <w:pPr>
              <w:pStyle w:val="12"/>
              <w:spacing w:before="130"/>
              <w:ind w:right="1919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rFonts w:ascii="宋体" w:hAnsi="宋体"/>
                <w:sz w:val="15"/>
              </w:rPr>
              <w:t>Ω</w:t>
            </w:r>
            <w:r>
              <w:rPr>
                <w:sz w:val="15"/>
              </w:rPr>
              <w:t>loaded Q</w:t>
            </w: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Q</w:t>
            </w:r>
            <w:r>
              <w:rPr>
                <w:sz w:val="15"/>
                <w:vertAlign w:val="subscript"/>
              </w:rPr>
              <w:t>U</w:t>
            </w:r>
          </w:p>
        </w:tc>
        <w:tc>
          <w:tcPr>
            <w:tcW w:w="742" w:type="dxa"/>
            <w:vMerge w:val="restart"/>
          </w:tcPr>
          <w:p>
            <w:pPr>
              <w:pStyle w:val="12"/>
              <w:spacing w:before="0"/>
              <w:rPr>
                <w:b/>
                <w:sz w:val="16"/>
              </w:rPr>
            </w:pPr>
          </w:p>
          <w:p>
            <w:pPr>
              <w:pStyle w:val="12"/>
              <w:spacing w:before="126"/>
              <w:ind w:left="201"/>
              <w:rPr>
                <w:sz w:val="15"/>
              </w:rPr>
            </w:pPr>
            <w:r>
              <w:rPr>
                <w:sz w:val="15"/>
              </w:rPr>
              <w:t>5,6,7</w:t>
            </w: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right="211"/>
              <w:jc w:val="right"/>
              <w:rPr>
                <w:sz w:val="15"/>
              </w:rPr>
            </w:pPr>
            <w:r>
              <w:rPr>
                <w:sz w:val="15"/>
              </w:rPr>
              <w:t>13.300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Q</w:t>
            </w:r>
            <w:r>
              <w:rPr>
                <w:sz w:val="15"/>
                <w:vertAlign w:val="subscript"/>
              </w:rPr>
              <w:t>L</w:t>
            </w:r>
          </w:p>
        </w:tc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left="259"/>
              <w:rPr>
                <w:sz w:val="15"/>
              </w:rPr>
            </w:pPr>
            <w:r>
              <w:rPr>
                <w:sz w:val="15"/>
              </w:rPr>
              <w:t>2.000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  <w:vMerge w:val="restart"/>
          </w:tcPr>
          <w:p>
            <w:pPr>
              <w:pStyle w:val="12"/>
              <w:tabs>
                <w:tab w:val="left" w:pos="2034"/>
              </w:tabs>
              <w:spacing w:before="72"/>
              <w:ind w:left="107"/>
              <w:rPr>
                <w:sz w:val="15"/>
              </w:rPr>
            </w:pPr>
            <w:r>
              <w:rPr>
                <w:sz w:val="15"/>
              </w:rPr>
              <w:t>Temperature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Stability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Turnover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Temperature</w:t>
            </w:r>
          </w:p>
          <w:p>
            <w:pPr>
              <w:pStyle w:val="12"/>
              <w:spacing w:before="140"/>
              <w:ind w:left="2059"/>
              <w:rPr>
                <w:sz w:val="15"/>
              </w:rPr>
            </w:pPr>
            <w:r>
              <w:rPr>
                <w:sz w:val="15"/>
              </w:rPr>
              <w:t>Turnover Frequency</w:t>
            </w:r>
          </w:p>
          <w:p>
            <w:pPr>
              <w:pStyle w:val="12"/>
              <w:spacing w:before="139"/>
              <w:ind w:left="2059"/>
              <w:rPr>
                <w:sz w:val="15"/>
              </w:rPr>
            </w:pPr>
            <w:r>
              <w:rPr>
                <w:sz w:val="15"/>
              </w:rPr>
              <w:t>Frequency Temperature Coefficient</w:t>
            </w:r>
          </w:p>
        </w:tc>
        <w:tc>
          <w:tcPr>
            <w:tcW w:w="777" w:type="dxa"/>
          </w:tcPr>
          <w:p>
            <w:pPr>
              <w:pStyle w:val="12"/>
              <w:ind w:left="246" w:right="239"/>
              <w:jc w:val="center"/>
              <w:rPr>
                <w:sz w:val="15"/>
              </w:rPr>
            </w:pPr>
            <w:r>
              <w:rPr>
                <w:sz w:val="15"/>
              </w:rPr>
              <w:t>T</w:t>
            </w:r>
            <w:r>
              <w:rPr>
                <w:sz w:val="15"/>
                <w:vertAlign w:val="subscript"/>
              </w:rPr>
              <w:t>O</w:t>
            </w:r>
          </w:p>
        </w:tc>
        <w:tc>
          <w:tcPr>
            <w:tcW w:w="742" w:type="dxa"/>
            <w:vMerge w:val="restart"/>
          </w:tcPr>
          <w:p>
            <w:pPr>
              <w:pStyle w:val="12"/>
              <w:spacing w:before="0"/>
              <w:rPr>
                <w:b/>
                <w:sz w:val="16"/>
              </w:rPr>
            </w:pPr>
          </w:p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0"/>
              <w:ind w:left="201"/>
              <w:rPr>
                <w:sz w:val="15"/>
              </w:rPr>
            </w:pPr>
            <w:r>
              <w:rPr>
                <w:sz w:val="15"/>
              </w:rPr>
              <w:t>5,7,8</w:t>
            </w:r>
          </w:p>
        </w:tc>
        <w:tc>
          <w:tcPr>
            <w:tcW w:w="1007" w:type="dxa"/>
          </w:tcPr>
          <w:p>
            <w:pPr>
              <w:pStyle w:val="12"/>
              <w:ind w:left="375" w:right="37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00" w:type="dxa"/>
          </w:tcPr>
          <w:p>
            <w:pPr>
              <w:pStyle w:val="12"/>
              <w:ind w:left="302" w:right="296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1080" w:type="dxa"/>
          </w:tcPr>
          <w:p>
            <w:pPr>
              <w:pStyle w:val="12"/>
              <w:ind w:left="359" w:right="353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745" w:type="dxa"/>
          </w:tcPr>
          <w:p>
            <w:pPr>
              <w:pStyle w:val="12"/>
              <w:spacing w:before="58"/>
              <w:ind w:left="6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w w:val="99"/>
                <w:sz w:val="15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  <w:r>
              <w:rPr>
                <w:sz w:val="15"/>
                <w:vertAlign w:val="subscript"/>
              </w:rPr>
              <w:t>O</w:t>
            </w:r>
          </w:p>
        </w:tc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left="300" w:right="296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  <w:r>
              <w:rPr>
                <w:sz w:val="15"/>
                <w:vertAlign w:val="subscript"/>
              </w:rPr>
              <w:t>c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ind w:left="69" w:right="65"/>
              <w:jc w:val="center"/>
              <w:rPr>
                <w:sz w:val="15"/>
              </w:rPr>
            </w:pPr>
            <w:r>
              <w:rPr>
                <w:sz w:val="15"/>
              </w:rPr>
              <w:t>KHz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ind w:left="242"/>
              <w:rPr>
                <w:sz w:val="15"/>
              </w:rPr>
            </w:pPr>
            <w:r>
              <w:rPr>
                <w:sz w:val="15"/>
              </w:rPr>
              <w:t>FTC</w:t>
            </w:r>
          </w:p>
        </w:tc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left="259"/>
              <w:rPr>
                <w:sz w:val="15"/>
              </w:rPr>
            </w:pPr>
            <w:r>
              <w:rPr>
                <w:sz w:val="15"/>
              </w:rPr>
              <w:t>0.037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spacing w:before="58"/>
              <w:ind w:left="70" w:right="65"/>
              <w:jc w:val="center"/>
              <w:rPr>
                <w:sz w:val="15"/>
              </w:rPr>
            </w:pPr>
            <w:r>
              <w:rPr>
                <w:sz w:val="15"/>
              </w:rPr>
              <w:t>ppm/</w:t>
            </w:r>
            <w:r>
              <w:rPr>
                <w:rFonts w:ascii="宋体" w:hAnsi="宋体"/>
                <w:sz w:val="15"/>
              </w:rPr>
              <w:t>℃</w:t>
            </w:r>
            <w:r>
              <w:rPr>
                <w:sz w:val="15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</w:tcPr>
          <w:p>
            <w:pPr>
              <w:pStyle w:val="12"/>
              <w:tabs>
                <w:tab w:val="left" w:pos="1984"/>
              </w:tabs>
              <w:ind w:left="107"/>
              <w:rPr>
                <w:sz w:val="15"/>
              </w:rPr>
            </w:pPr>
            <w:r>
              <w:rPr>
                <w:sz w:val="15"/>
              </w:rPr>
              <w:t>Frequency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Aging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 xml:space="preserve">Absolute </w:t>
            </w:r>
            <w:r>
              <w:rPr>
                <w:spacing w:val="-3"/>
                <w:sz w:val="15"/>
              </w:rPr>
              <w:t xml:space="preserve">Value </w:t>
            </w:r>
            <w:r>
              <w:rPr>
                <w:sz w:val="15"/>
              </w:rPr>
              <w:t>during the First</w:t>
            </w:r>
            <w:r>
              <w:rPr>
                <w:spacing w:val="-4"/>
                <w:sz w:val="15"/>
              </w:rPr>
              <w:t xml:space="preserve"> Year</w:t>
            </w: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If</w:t>
            </w:r>
            <w:r>
              <w:rPr>
                <w:sz w:val="15"/>
                <w:vertAlign w:val="subscript"/>
              </w:rPr>
              <w:t>A</w:t>
            </w:r>
            <w:r>
              <w:rPr>
                <w:sz w:val="15"/>
                <w:vertAlign w:val="baseline"/>
              </w:rPr>
              <w:t>I</w:t>
            </w:r>
          </w:p>
        </w:tc>
        <w:tc>
          <w:tcPr>
            <w:tcW w:w="742" w:type="dxa"/>
          </w:tcPr>
          <w:p>
            <w:pPr>
              <w:pStyle w:val="12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spacing w:before="50"/>
              <w:ind w:left="296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5"/>
              </w:rPr>
              <w:t>≦10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spacing w:before="58"/>
              <w:ind w:left="71" w:right="65"/>
              <w:jc w:val="center"/>
              <w:rPr>
                <w:rFonts w:ascii="宋体" w:hAnsi="宋体"/>
                <w:sz w:val="15"/>
              </w:rPr>
            </w:pPr>
            <w:r>
              <w:rPr>
                <w:sz w:val="15"/>
              </w:rPr>
              <w:t>ppm/y</w:t>
            </w:r>
            <w:r>
              <w:rPr>
                <w:rFonts w:ascii="宋体" w:hAnsi="宋体"/>
                <w:sz w:val="15"/>
              </w:rPr>
              <w:t>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0" w:type="dxa"/>
          </w:tcPr>
          <w:p>
            <w:pPr>
              <w:pStyle w:val="12"/>
              <w:ind w:left="107"/>
              <w:rPr>
                <w:sz w:val="15"/>
              </w:rPr>
            </w:pPr>
            <w:r>
              <w:rPr>
                <w:sz w:val="15"/>
              </w:rPr>
              <w:t>DC Insulation Resistance between Any Two Pins</w:t>
            </w:r>
          </w:p>
        </w:tc>
        <w:tc>
          <w:tcPr>
            <w:tcW w:w="77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12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007" w:type="dxa"/>
          </w:tcPr>
          <w:p>
            <w:pPr>
              <w:pStyle w:val="12"/>
              <w:ind w:left="375" w:right="372"/>
              <w:jc w:val="center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90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spacing w:before="58"/>
              <w:ind w:left="71" w:right="65"/>
              <w:jc w:val="center"/>
              <w:rPr>
                <w:rFonts w:ascii="宋体" w:hAnsi="宋体"/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rFonts w:ascii="宋体" w:hAnsi="宋体"/>
                <w:sz w:val="15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  <w:vMerge w:val="restart"/>
          </w:tcPr>
          <w:p>
            <w:pPr>
              <w:pStyle w:val="12"/>
              <w:spacing w:before="77"/>
              <w:ind w:left="107"/>
              <w:rPr>
                <w:sz w:val="15"/>
              </w:rPr>
            </w:pPr>
            <w:r>
              <w:rPr>
                <w:sz w:val="15"/>
              </w:rPr>
              <w:t>RF Equivalent RLC Model Motional Resistance</w:t>
            </w:r>
          </w:p>
          <w:p>
            <w:pPr>
              <w:pStyle w:val="12"/>
              <w:spacing w:before="140" w:line="434" w:lineRule="auto"/>
              <w:ind w:left="2057" w:right="1310"/>
              <w:rPr>
                <w:sz w:val="15"/>
              </w:rPr>
            </w:pPr>
            <w:r>
              <w:rPr>
                <w:sz w:val="15"/>
              </w:rPr>
              <w:t>Motional Inductance Motional Capacitance</w:t>
            </w:r>
          </w:p>
          <w:p>
            <w:pPr>
              <w:pStyle w:val="12"/>
              <w:spacing w:before="0" w:line="172" w:lineRule="exact"/>
              <w:ind w:left="2057"/>
              <w:rPr>
                <w:sz w:val="15"/>
              </w:rPr>
            </w:pPr>
            <w:r>
              <w:rPr>
                <w:sz w:val="15"/>
              </w:rPr>
              <w:t>Pin 1 to Pin 2 Static Capacitance</w:t>
            </w: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R</w:t>
            </w:r>
            <w:r>
              <w:rPr>
                <w:sz w:val="15"/>
                <w:vertAlign w:val="subscript"/>
              </w:rPr>
              <w:t>M</w:t>
            </w:r>
          </w:p>
        </w:tc>
        <w:tc>
          <w:tcPr>
            <w:tcW w:w="742" w:type="dxa"/>
            <w:vMerge w:val="restart"/>
          </w:tcPr>
          <w:p>
            <w:pPr>
              <w:pStyle w:val="12"/>
              <w:spacing w:before="0"/>
              <w:rPr>
                <w:b/>
                <w:sz w:val="16"/>
              </w:rPr>
            </w:pPr>
          </w:p>
          <w:p>
            <w:pPr>
              <w:pStyle w:val="12"/>
              <w:spacing w:before="0"/>
              <w:rPr>
                <w:b/>
                <w:sz w:val="16"/>
              </w:rPr>
            </w:pPr>
          </w:p>
          <w:p>
            <w:pPr>
              <w:pStyle w:val="12"/>
              <w:spacing w:before="0"/>
              <w:rPr>
                <w:b/>
                <w:sz w:val="15"/>
              </w:rPr>
            </w:pPr>
          </w:p>
          <w:p>
            <w:pPr>
              <w:pStyle w:val="12"/>
              <w:spacing w:before="0"/>
              <w:ind w:left="201"/>
              <w:rPr>
                <w:sz w:val="15"/>
              </w:rPr>
            </w:pPr>
            <w:r>
              <w:rPr>
                <w:sz w:val="15"/>
              </w:rPr>
              <w:t>5,7,9</w:t>
            </w: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left="302" w:right="296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1080" w:type="dxa"/>
          </w:tcPr>
          <w:p>
            <w:pPr>
              <w:pStyle w:val="12"/>
              <w:ind w:left="359" w:right="353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745" w:type="dxa"/>
          </w:tcPr>
          <w:p>
            <w:pPr>
              <w:pStyle w:val="12"/>
              <w:spacing w:before="58"/>
              <w:ind w:left="6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w w:val="99"/>
                <w:sz w:val="15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z w:val="15"/>
                <w:vertAlign w:val="subscript"/>
              </w:rPr>
              <w:t>M</w:t>
            </w:r>
          </w:p>
        </w:tc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127.677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spacing w:before="58"/>
              <w:ind w:left="71" w:right="65"/>
              <w:jc w:val="center"/>
              <w:rPr>
                <w:sz w:val="15"/>
              </w:rPr>
            </w:pPr>
            <w:r>
              <w:rPr>
                <w:rFonts w:ascii="宋体" w:hAnsi="宋体"/>
                <w:sz w:val="15"/>
              </w:rPr>
              <w:t>μ</w:t>
            </w:r>
            <w:r>
              <w:rPr>
                <w:sz w:val="15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ind w:left="247" w:right="239"/>
              <w:jc w:val="center"/>
              <w:rPr>
                <w:sz w:val="15"/>
              </w:rPr>
            </w:pPr>
            <w:r>
              <w:rPr>
                <w:sz w:val="15"/>
              </w:rPr>
              <w:t>C</w:t>
            </w:r>
            <w:r>
              <w:rPr>
                <w:sz w:val="15"/>
                <w:vertAlign w:val="subscript"/>
              </w:rPr>
              <w:t>M</w:t>
            </w:r>
          </w:p>
        </w:tc>
        <w:tc>
          <w:tcPr>
            <w:tcW w:w="7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1.99943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ind w:left="71" w:right="65"/>
              <w:jc w:val="center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</w:tcPr>
          <w:p>
            <w:pPr>
              <w:pStyle w:val="12"/>
              <w:ind w:left="246" w:right="239"/>
              <w:jc w:val="center"/>
              <w:rPr>
                <w:sz w:val="15"/>
              </w:rPr>
            </w:pPr>
            <w:r>
              <w:rPr>
                <w:sz w:val="15"/>
              </w:rPr>
              <w:t>C</w:t>
            </w:r>
            <w:r>
              <w:rPr>
                <w:sz w:val="15"/>
                <w:vertAlign w:val="subscript"/>
              </w:rPr>
              <w:t>O</w:t>
            </w:r>
          </w:p>
        </w:tc>
        <w:tc>
          <w:tcPr>
            <w:tcW w:w="742" w:type="dxa"/>
          </w:tcPr>
          <w:p>
            <w:pPr>
              <w:pStyle w:val="12"/>
              <w:ind w:left="201"/>
              <w:rPr>
                <w:sz w:val="15"/>
              </w:rPr>
            </w:pPr>
            <w:r>
              <w:rPr>
                <w:sz w:val="15"/>
              </w:rPr>
              <w:t>5,6,9</w:t>
            </w:r>
          </w:p>
        </w:tc>
        <w:tc>
          <w:tcPr>
            <w:tcW w:w="1007" w:type="dxa"/>
          </w:tcPr>
          <w:p>
            <w:pPr>
              <w:pStyle w:val="12"/>
              <w:ind w:left="375" w:right="371"/>
              <w:jc w:val="center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900" w:type="dxa"/>
          </w:tcPr>
          <w:p>
            <w:pPr>
              <w:pStyle w:val="12"/>
              <w:ind w:left="301" w:right="296"/>
              <w:jc w:val="center"/>
              <w:rPr>
                <w:sz w:val="15"/>
              </w:rPr>
            </w:pPr>
            <w:r>
              <w:rPr>
                <w:sz w:val="15"/>
              </w:rPr>
              <w:t>2.6</w:t>
            </w:r>
          </w:p>
        </w:tc>
        <w:tc>
          <w:tcPr>
            <w:tcW w:w="1080" w:type="dxa"/>
          </w:tcPr>
          <w:p>
            <w:pPr>
              <w:pStyle w:val="12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745" w:type="dxa"/>
          </w:tcPr>
          <w:p>
            <w:pPr>
              <w:pStyle w:val="12"/>
              <w:ind w:left="71" w:right="65"/>
              <w:jc w:val="center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</w:tcPr>
          <w:p>
            <w:pPr>
              <w:pStyle w:val="12"/>
              <w:ind w:left="2059"/>
              <w:rPr>
                <w:sz w:val="15"/>
              </w:rPr>
            </w:pPr>
            <w:r>
              <w:rPr>
                <w:sz w:val="15"/>
              </w:rPr>
              <w:t>Transducer Static Capacitance</w:t>
            </w:r>
          </w:p>
        </w:tc>
        <w:tc>
          <w:tcPr>
            <w:tcW w:w="777" w:type="dxa"/>
          </w:tcPr>
          <w:p>
            <w:pPr>
              <w:pStyle w:val="12"/>
              <w:ind w:left="247" w:right="238"/>
              <w:jc w:val="center"/>
              <w:rPr>
                <w:sz w:val="15"/>
              </w:rPr>
            </w:pPr>
            <w:r>
              <w:rPr>
                <w:sz w:val="15"/>
              </w:rPr>
              <w:t>C</w:t>
            </w:r>
            <w:r>
              <w:rPr>
                <w:sz w:val="15"/>
                <w:vertAlign w:val="subscript"/>
              </w:rPr>
              <w:t>P</w:t>
            </w:r>
          </w:p>
        </w:tc>
        <w:tc>
          <w:tcPr>
            <w:tcW w:w="742" w:type="dxa"/>
          </w:tcPr>
          <w:p>
            <w:pPr>
              <w:pStyle w:val="12"/>
              <w:ind w:left="139"/>
              <w:rPr>
                <w:sz w:val="15"/>
              </w:rPr>
            </w:pPr>
            <w:r>
              <w:rPr>
                <w:sz w:val="15"/>
              </w:rPr>
              <w:t>5,6,7,9</w:t>
            </w: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left="301" w:right="296"/>
              <w:jc w:val="center"/>
              <w:rPr>
                <w:sz w:val="15"/>
              </w:rPr>
            </w:pPr>
            <w:r>
              <w:rPr>
                <w:sz w:val="15"/>
              </w:rPr>
              <w:t>2.3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ind w:left="71" w:right="65"/>
              <w:jc w:val="center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40" w:type="dxa"/>
          </w:tcPr>
          <w:p>
            <w:pPr>
              <w:pStyle w:val="12"/>
              <w:ind w:left="107"/>
              <w:rPr>
                <w:sz w:val="15"/>
              </w:rPr>
            </w:pPr>
            <w:r>
              <w:rPr>
                <w:sz w:val="15"/>
              </w:rPr>
              <w:t>Test Fixture Shunt Inductance</w:t>
            </w:r>
          </w:p>
        </w:tc>
        <w:tc>
          <w:tcPr>
            <w:tcW w:w="777" w:type="dxa"/>
          </w:tcPr>
          <w:p>
            <w:pPr>
              <w:pStyle w:val="12"/>
              <w:ind w:left="217"/>
              <w:rPr>
                <w:sz w:val="10"/>
              </w:rPr>
            </w:pPr>
            <w:r>
              <w:rPr>
                <w:position w:val="2"/>
                <w:sz w:val="15"/>
              </w:rPr>
              <w:t>L</w:t>
            </w:r>
            <w:r>
              <w:rPr>
                <w:sz w:val="10"/>
              </w:rPr>
              <w:t>TEST</w:t>
            </w:r>
          </w:p>
        </w:tc>
        <w:tc>
          <w:tcPr>
            <w:tcW w:w="742" w:type="dxa"/>
          </w:tcPr>
          <w:p>
            <w:pPr>
              <w:pStyle w:val="12"/>
              <w:ind w:left="244" w:right="238"/>
              <w:jc w:val="center"/>
              <w:rPr>
                <w:sz w:val="15"/>
              </w:rPr>
            </w:pPr>
            <w:r>
              <w:rPr>
                <w:sz w:val="15"/>
              </w:rPr>
              <w:t>2,7</w:t>
            </w:r>
          </w:p>
        </w:tc>
        <w:tc>
          <w:tcPr>
            <w:tcW w:w="1007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12"/>
              <w:ind w:left="302" w:right="296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80" w:type="dxa"/>
          </w:tcPr>
          <w:p>
            <w:pPr>
              <w:pStyle w:val="12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5" w:type="dxa"/>
          </w:tcPr>
          <w:p>
            <w:pPr>
              <w:pStyle w:val="12"/>
              <w:ind w:left="71" w:right="65"/>
              <w:jc w:val="center"/>
              <w:rPr>
                <w:sz w:val="15"/>
              </w:rPr>
            </w:pPr>
            <w:r>
              <w:rPr>
                <w:sz w:val="15"/>
              </w:rPr>
              <w:t>nH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40" w:type="dxa"/>
          </w:tcPr>
          <w:p>
            <w:pPr>
              <w:pStyle w:val="12"/>
              <w:ind w:left="107"/>
              <w:rPr>
                <w:sz w:val="15"/>
              </w:rPr>
            </w:pPr>
            <w:r>
              <w:rPr>
                <w:sz w:val="15"/>
              </w:rPr>
              <w:t>Lid Symbolization (in Addition to Lot and/or Date Code</w:t>
            </w:r>
          </w:p>
        </w:tc>
        <w:tc>
          <w:tcPr>
            <w:tcW w:w="5251" w:type="dxa"/>
            <w:gridSpan w:val="6"/>
          </w:tcPr>
          <w:p>
            <w:pPr>
              <w:pStyle w:val="12"/>
              <w:ind w:left="2336" w:right="2330"/>
              <w:jc w:val="center"/>
              <w:rPr>
                <w:sz w:val="15"/>
              </w:rPr>
            </w:pPr>
            <w:r>
              <w:rPr>
                <w:sz w:val="15"/>
              </w:rPr>
              <w:t>R315T2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spacing w:before="135" w:line="362" w:lineRule="auto"/>
        <w:ind w:left="334" w:right="3594" w:firstLine="0"/>
        <w:jc w:val="left"/>
        <w:rPr>
          <w:b/>
          <w:sz w:val="18"/>
        </w:rPr>
      </w:pPr>
      <w:r>
        <w:rPr>
          <w:b/>
          <w:sz w:val="18"/>
        </w:rPr>
        <w:t>CAUTION: electrostatic Sensitive Device, Observe precautions for handling. Notes:</w:t>
      </w:r>
    </w:p>
    <w:p>
      <w:pPr>
        <w:spacing w:after="0" w:line="362" w:lineRule="auto"/>
        <w:jc w:val="left"/>
        <w:rPr>
          <w:sz w:val="18"/>
        </w:rPr>
        <w:sectPr>
          <w:headerReference r:id="rId3" w:type="default"/>
          <w:footerReference r:id="rId4" w:type="default"/>
          <w:pgSz w:w="11900" w:h="16840"/>
          <w:pgMar w:top="1360" w:right="660" w:bottom="1180" w:left="800" w:header="1017" w:footer="989" w:gutter="0"/>
          <w:pgNumType w:start="2"/>
        </w:sectPr>
      </w:pPr>
    </w:p>
    <w:p>
      <w:pPr>
        <w:pStyle w:val="5"/>
        <w:spacing w:before="2"/>
        <w:rPr>
          <w:b/>
          <w:sz w:val="13"/>
        </w:rPr>
      </w:pPr>
    </w:p>
    <w:p>
      <w:pPr>
        <w:pStyle w:val="11"/>
        <w:numPr>
          <w:ilvl w:val="0"/>
          <w:numId w:val="1"/>
        </w:numPr>
        <w:tabs>
          <w:tab w:val="left" w:pos="478"/>
        </w:tabs>
        <w:spacing w:before="1" w:after="0" w:line="240" w:lineRule="auto"/>
        <w:ind w:left="478" w:right="39" w:hanging="360"/>
        <w:jc w:val="both"/>
        <w:rPr>
          <w:sz w:val="15"/>
        </w:rPr>
      </w:pPr>
      <w:r>
        <w:rPr>
          <w:sz w:val="15"/>
        </w:rPr>
        <w:t>Frequency aging is the change in f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 xml:space="preserve"> with time and is specified at +65</w:t>
      </w:r>
      <w:r>
        <w:rPr>
          <w:rFonts w:ascii="宋体" w:hAnsi="宋体"/>
          <w:sz w:val="15"/>
          <w:vertAlign w:val="baseline"/>
        </w:rPr>
        <w:t xml:space="preserve">℃ </w:t>
      </w:r>
      <w:r>
        <w:rPr>
          <w:sz w:val="15"/>
          <w:vertAlign w:val="baseline"/>
        </w:rPr>
        <w:t>or less. Aging may exceed the specification for prolonged temperatures above +65</w:t>
      </w:r>
      <w:r>
        <w:rPr>
          <w:rFonts w:ascii="宋体" w:hAnsi="宋体"/>
          <w:sz w:val="15"/>
          <w:vertAlign w:val="baseline"/>
        </w:rPr>
        <w:t>℃</w:t>
      </w:r>
      <w:r>
        <w:rPr>
          <w:sz w:val="15"/>
          <w:vertAlign w:val="baseline"/>
        </w:rPr>
        <w:t xml:space="preserve">. </w:t>
      </w:r>
      <w:r>
        <w:rPr>
          <w:spacing w:val="-3"/>
          <w:sz w:val="15"/>
          <w:vertAlign w:val="baseline"/>
        </w:rPr>
        <w:t xml:space="preserve">Typically, </w:t>
      </w:r>
      <w:r>
        <w:rPr>
          <w:sz w:val="15"/>
          <w:vertAlign w:val="baseline"/>
        </w:rPr>
        <w:t>aging is greatest the first year after manufacture, decreasing significantly in subsequent</w:t>
      </w:r>
      <w:r>
        <w:rPr>
          <w:spacing w:val="-5"/>
          <w:sz w:val="15"/>
          <w:vertAlign w:val="baseline"/>
        </w:rPr>
        <w:t xml:space="preserve"> </w:t>
      </w:r>
      <w:r>
        <w:rPr>
          <w:sz w:val="15"/>
          <w:vertAlign w:val="baseline"/>
        </w:rPr>
        <w:t>years.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2" w:after="0" w:line="240" w:lineRule="auto"/>
        <w:ind w:left="477" w:right="39" w:hanging="360"/>
        <w:jc w:val="both"/>
        <w:rPr>
          <w:sz w:val="15"/>
        </w:rPr>
      </w:pPr>
      <w:r>
        <w:rPr>
          <w:sz w:val="15"/>
        </w:rPr>
        <w:t>The center frequency, f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>, is measured at the minimum insertion loss point, IL</w:t>
      </w:r>
      <w:r>
        <w:rPr>
          <w:sz w:val="15"/>
          <w:vertAlign w:val="subscript"/>
        </w:rPr>
        <w:t>MIN</w:t>
      </w:r>
      <w:r>
        <w:rPr>
          <w:sz w:val="15"/>
          <w:vertAlign w:val="baseline"/>
        </w:rPr>
        <w:t xml:space="preserve"> with the resonator in the 50</w:t>
      </w:r>
      <w:r>
        <w:rPr>
          <w:rFonts w:ascii="宋体" w:hAnsi="宋体"/>
          <w:sz w:val="15"/>
          <w:vertAlign w:val="baseline"/>
        </w:rPr>
        <w:t xml:space="preserve">Ω </w:t>
      </w:r>
      <w:r>
        <w:rPr>
          <w:sz w:val="15"/>
          <w:vertAlign w:val="baseline"/>
        </w:rPr>
        <w:t>test system(VSWR</w:t>
      </w:r>
      <w:r>
        <w:rPr>
          <w:rFonts w:ascii="宋体" w:hAnsi="宋体"/>
          <w:sz w:val="15"/>
          <w:vertAlign w:val="baseline"/>
        </w:rPr>
        <w:t>≦</w:t>
      </w:r>
      <w:r>
        <w:rPr>
          <w:sz w:val="15"/>
          <w:vertAlign w:val="baseline"/>
        </w:rPr>
        <w:t>1.2:1).The shunt inductance, L</w:t>
      </w:r>
      <w:r>
        <w:rPr>
          <w:sz w:val="15"/>
          <w:vertAlign w:val="subscript"/>
        </w:rPr>
        <w:t>TEST</w:t>
      </w:r>
      <w:r>
        <w:rPr>
          <w:sz w:val="15"/>
          <w:vertAlign w:val="baseline"/>
        </w:rPr>
        <w:t>, is turned for parallel resonator with C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 xml:space="preserve"> at f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 xml:space="preserve">. </w:t>
      </w:r>
      <w:r>
        <w:rPr>
          <w:spacing w:val="-3"/>
          <w:sz w:val="15"/>
          <w:vertAlign w:val="baseline"/>
        </w:rPr>
        <w:t xml:space="preserve">Typically, </w:t>
      </w:r>
      <w:r>
        <w:rPr>
          <w:sz w:val="15"/>
          <w:vertAlign w:val="baseline"/>
        </w:rPr>
        <w:t>f</w:t>
      </w:r>
      <w:r>
        <w:rPr>
          <w:sz w:val="15"/>
          <w:vertAlign w:val="subscript"/>
        </w:rPr>
        <w:t>OSCILLATOR</w:t>
      </w:r>
      <w:r>
        <w:rPr>
          <w:sz w:val="15"/>
          <w:vertAlign w:val="baseline"/>
        </w:rPr>
        <w:t xml:space="preserve"> or f</w:t>
      </w:r>
      <w:r>
        <w:rPr>
          <w:sz w:val="15"/>
          <w:vertAlign w:val="subscript"/>
        </w:rPr>
        <w:t>TRANSMITTER</w:t>
      </w:r>
      <w:r>
        <w:rPr>
          <w:sz w:val="15"/>
          <w:vertAlign w:val="baseline"/>
        </w:rPr>
        <w:t xml:space="preserve"> is less than the resonator</w:t>
      </w:r>
      <w:r>
        <w:rPr>
          <w:spacing w:val="-16"/>
          <w:sz w:val="15"/>
          <w:vertAlign w:val="baseline"/>
        </w:rPr>
        <w:t xml:space="preserve"> </w:t>
      </w:r>
      <w:r>
        <w:rPr>
          <w:sz w:val="15"/>
          <w:vertAlign w:val="baseline"/>
        </w:rPr>
        <w:t>f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>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3" w:after="0" w:line="240" w:lineRule="auto"/>
        <w:ind w:left="478" w:right="38" w:hanging="360"/>
        <w:jc w:val="both"/>
        <w:rPr>
          <w:sz w:val="15"/>
        </w:rPr>
      </w:pPr>
      <w:r>
        <w:rPr>
          <w:sz w:val="15"/>
        </w:rPr>
        <w:t>One or more of following United States patents apply:4,454,488 and 4,616,197 and others</w:t>
      </w:r>
      <w:r>
        <w:rPr>
          <w:spacing w:val="-3"/>
          <w:sz w:val="15"/>
        </w:rPr>
        <w:t xml:space="preserve"> </w:t>
      </w:r>
      <w:r>
        <w:rPr>
          <w:sz w:val="15"/>
        </w:rPr>
        <w:t>pending.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0" w:after="0" w:line="240" w:lineRule="auto"/>
        <w:ind w:left="478" w:right="39" w:hanging="360"/>
        <w:jc w:val="both"/>
        <w:rPr>
          <w:sz w:val="15"/>
        </w:rPr>
      </w:pPr>
      <w:r>
        <w:rPr>
          <w:spacing w:val="-3"/>
          <w:sz w:val="15"/>
        </w:rPr>
        <w:t xml:space="preserve">Typically, </w:t>
      </w:r>
      <w:r>
        <w:rPr>
          <w:sz w:val="15"/>
        </w:rPr>
        <w:t>equipment designs utilizing this device require emissions testing and government approval, which is the responsibility of the equipment manufacturer.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1" w:after="0" w:line="240" w:lineRule="auto"/>
        <w:ind w:left="477" w:right="0" w:hanging="360"/>
        <w:jc w:val="both"/>
        <w:rPr>
          <w:sz w:val="15"/>
        </w:rPr>
      </w:pPr>
      <w:r>
        <w:rPr>
          <w:sz w:val="15"/>
        </w:rPr>
        <w:t>Unless noted otherwise, case temperature</w:t>
      </w:r>
      <w:r>
        <w:rPr>
          <w:spacing w:val="-8"/>
          <w:sz w:val="15"/>
        </w:rPr>
        <w:t xml:space="preserve"> </w:t>
      </w:r>
      <w:r>
        <w:rPr>
          <w:sz w:val="15"/>
        </w:rPr>
        <w:t>T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>=25</w:t>
      </w:r>
      <w:r>
        <w:rPr>
          <w:rFonts w:ascii="宋体" w:hAnsi="宋体"/>
          <w:sz w:val="15"/>
          <w:vertAlign w:val="baseline"/>
        </w:rPr>
        <w:t>℃±</w:t>
      </w:r>
      <w:r>
        <w:rPr>
          <w:sz w:val="15"/>
          <w:vertAlign w:val="baseline"/>
        </w:rPr>
        <w:t>2</w:t>
      </w:r>
      <w:r>
        <w:rPr>
          <w:rFonts w:ascii="宋体" w:hAnsi="宋体"/>
          <w:sz w:val="15"/>
          <w:vertAlign w:val="baseline"/>
        </w:rPr>
        <w:t>℃</w:t>
      </w:r>
      <w:r>
        <w:rPr>
          <w:sz w:val="15"/>
          <w:vertAlign w:val="baseline"/>
        </w:rPr>
        <w:t>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0" w:after="0" w:line="240" w:lineRule="auto"/>
        <w:ind w:left="478" w:right="38" w:hanging="360"/>
        <w:jc w:val="both"/>
        <w:rPr>
          <w:sz w:val="15"/>
        </w:rPr>
      </w:pPr>
      <w:r>
        <w:rPr>
          <w:sz w:val="15"/>
        </w:rPr>
        <w:t>The design, manufacturing process, and specifications of this device are subject to change without</w:t>
      </w:r>
      <w:r>
        <w:rPr>
          <w:spacing w:val="-5"/>
          <w:sz w:val="15"/>
        </w:rPr>
        <w:t xml:space="preserve"> </w:t>
      </w:r>
      <w:r>
        <w:rPr>
          <w:sz w:val="15"/>
        </w:rPr>
        <w:t>notice.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113" w:after="0" w:line="240" w:lineRule="auto"/>
        <w:ind w:left="478" w:right="347" w:hanging="360"/>
        <w:jc w:val="both"/>
        <w:rPr>
          <w:sz w:val="15"/>
        </w:rPr>
      </w:pPr>
      <w:r>
        <w:rPr>
          <w:spacing w:val="-1"/>
          <w:w w:val="99"/>
          <w:sz w:val="15"/>
        </w:rPr>
        <w:br w:type="column"/>
      </w:r>
      <w:r>
        <w:rPr>
          <w:sz w:val="15"/>
        </w:rPr>
        <w:t>Derived mathematically from one or more of the following directly measured parameter: f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>, IL, 3dB bandwidth, f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 xml:space="preserve"> versus T</w:t>
      </w:r>
      <w:r>
        <w:rPr>
          <w:sz w:val="15"/>
          <w:vertAlign w:val="subscript"/>
        </w:rPr>
        <w:t>c,</w:t>
      </w:r>
      <w:r>
        <w:rPr>
          <w:sz w:val="15"/>
          <w:vertAlign w:val="baseline"/>
        </w:rPr>
        <w:t xml:space="preserve"> and</w:t>
      </w:r>
      <w:r>
        <w:rPr>
          <w:spacing w:val="-4"/>
          <w:sz w:val="15"/>
          <w:vertAlign w:val="baseline"/>
        </w:rPr>
        <w:t xml:space="preserve"> </w:t>
      </w:r>
      <w:r>
        <w:rPr>
          <w:sz w:val="15"/>
          <w:vertAlign w:val="baseline"/>
        </w:rPr>
        <w:t>C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>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1" w:after="0" w:line="240" w:lineRule="auto"/>
        <w:ind w:left="478" w:right="345" w:hanging="360"/>
        <w:jc w:val="both"/>
        <w:rPr>
          <w:sz w:val="15"/>
        </w:rPr>
      </w:pPr>
      <w:r>
        <w:rPr>
          <w:sz w:val="15"/>
        </w:rPr>
        <w:t>Turnover</w:t>
      </w:r>
      <w:r>
        <w:rPr>
          <w:spacing w:val="-5"/>
          <w:sz w:val="15"/>
        </w:rPr>
        <w:t xml:space="preserve"> </w:t>
      </w:r>
      <w:r>
        <w:rPr>
          <w:sz w:val="15"/>
        </w:rPr>
        <w:t>temperature,</w:t>
      </w:r>
      <w:r>
        <w:rPr>
          <w:spacing w:val="-5"/>
          <w:sz w:val="15"/>
        </w:rPr>
        <w:t xml:space="preserve"> </w:t>
      </w:r>
      <w:r>
        <w:rPr>
          <w:sz w:val="15"/>
        </w:rPr>
        <w:t>T</w:t>
      </w:r>
      <w:r>
        <w:rPr>
          <w:sz w:val="15"/>
          <w:vertAlign w:val="subscript"/>
        </w:rPr>
        <w:t>o</w:t>
      </w:r>
      <w:r>
        <w:rPr>
          <w:spacing w:val="-6"/>
          <w:sz w:val="15"/>
          <w:vertAlign w:val="baseline"/>
        </w:rPr>
        <w:t xml:space="preserve"> </w:t>
      </w:r>
      <w:r>
        <w:rPr>
          <w:sz w:val="15"/>
          <w:vertAlign w:val="baseline"/>
        </w:rPr>
        <w:t>,</w:t>
      </w:r>
      <w:r>
        <w:rPr>
          <w:spacing w:val="-5"/>
          <w:sz w:val="15"/>
          <w:vertAlign w:val="baseline"/>
        </w:rPr>
        <w:t xml:space="preserve"> </w:t>
      </w:r>
      <w:r>
        <w:rPr>
          <w:sz w:val="15"/>
          <w:vertAlign w:val="baseline"/>
        </w:rPr>
        <w:t>is</w:t>
      </w:r>
      <w:r>
        <w:rPr>
          <w:spacing w:val="-6"/>
          <w:sz w:val="15"/>
          <w:vertAlign w:val="baseline"/>
        </w:rPr>
        <w:t xml:space="preserve"> </w:t>
      </w:r>
      <w:r>
        <w:rPr>
          <w:sz w:val="15"/>
          <w:vertAlign w:val="baseline"/>
        </w:rPr>
        <w:t>the</w:t>
      </w:r>
      <w:r>
        <w:rPr>
          <w:spacing w:val="-5"/>
          <w:sz w:val="15"/>
          <w:vertAlign w:val="baseline"/>
        </w:rPr>
        <w:t xml:space="preserve"> </w:t>
      </w:r>
      <w:r>
        <w:rPr>
          <w:sz w:val="15"/>
          <w:vertAlign w:val="baseline"/>
        </w:rPr>
        <w:t>temperature</w:t>
      </w:r>
      <w:r>
        <w:rPr>
          <w:spacing w:val="-5"/>
          <w:sz w:val="15"/>
          <w:vertAlign w:val="baseline"/>
        </w:rPr>
        <w:t xml:space="preserve"> </w:t>
      </w:r>
      <w:r>
        <w:rPr>
          <w:sz w:val="15"/>
          <w:vertAlign w:val="baseline"/>
        </w:rPr>
        <w:t>of</w:t>
      </w:r>
      <w:r>
        <w:rPr>
          <w:spacing w:val="-5"/>
          <w:sz w:val="15"/>
          <w:vertAlign w:val="baseline"/>
        </w:rPr>
        <w:t xml:space="preserve"> </w:t>
      </w:r>
      <w:r>
        <w:rPr>
          <w:sz w:val="15"/>
          <w:vertAlign w:val="baseline"/>
        </w:rPr>
        <w:t>maximum (or turnover) frequency, f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>. The nominal frequency at any case temperature, T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>. may be calculated</w:t>
      </w:r>
      <w:r>
        <w:rPr>
          <w:spacing w:val="-11"/>
          <w:sz w:val="15"/>
          <w:vertAlign w:val="baseline"/>
        </w:rPr>
        <w:t xml:space="preserve"> </w:t>
      </w:r>
      <w:r>
        <w:rPr>
          <w:sz w:val="15"/>
          <w:vertAlign w:val="baseline"/>
        </w:rPr>
        <w:t>from:</w:t>
      </w:r>
    </w:p>
    <w:p>
      <w:pPr>
        <w:spacing w:before="2"/>
        <w:ind w:left="565" w:right="347" w:firstLine="0"/>
        <w:jc w:val="both"/>
        <w:rPr>
          <w:sz w:val="15"/>
        </w:rPr>
      </w:pPr>
      <w:r>
        <w:rPr>
          <w:sz w:val="15"/>
        </w:rPr>
        <w:t>f=f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 xml:space="preserve"> [1-FTC(T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>-T</w:t>
      </w:r>
      <w:r>
        <w:rPr>
          <w:sz w:val="15"/>
          <w:vertAlign w:val="subscript"/>
        </w:rPr>
        <w:t>c</w:t>
      </w:r>
      <w:r>
        <w:rPr>
          <w:sz w:val="15"/>
          <w:vertAlign w:val="baseline"/>
        </w:rPr>
        <w:t>)</w:t>
      </w:r>
      <w:r>
        <w:rPr>
          <w:sz w:val="15"/>
          <w:vertAlign w:val="superscript"/>
        </w:rPr>
        <w:t>2</w:t>
      </w:r>
      <w:r>
        <w:rPr>
          <w:sz w:val="15"/>
          <w:vertAlign w:val="baseline"/>
        </w:rPr>
        <w:t xml:space="preserve">]. Typically, </w:t>
      </w:r>
      <w:r>
        <w:rPr>
          <w:i/>
          <w:sz w:val="15"/>
          <w:vertAlign w:val="baseline"/>
        </w:rPr>
        <w:t xml:space="preserve">oscillator </w:t>
      </w:r>
      <w:r>
        <w:rPr>
          <w:sz w:val="15"/>
          <w:vertAlign w:val="baseline"/>
        </w:rPr>
        <w:t>T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 xml:space="preserve"> is 20</w:t>
      </w:r>
      <w:r>
        <w:rPr>
          <w:rFonts w:ascii="宋体" w:hAnsi="宋体"/>
          <w:sz w:val="15"/>
          <w:vertAlign w:val="baseline"/>
        </w:rPr>
        <w:t xml:space="preserve">℃ </w:t>
      </w:r>
      <w:r>
        <w:rPr>
          <w:sz w:val="15"/>
          <w:vertAlign w:val="baseline"/>
        </w:rPr>
        <w:t xml:space="preserve">less than the specified </w:t>
      </w:r>
      <w:r>
        <w:rPr>
          <w:i/>
          <w:sz w:val="15"/>
          <w:vertAlign w:val="baseline"/>
        </w:rPr>
        <w:t xml:space="preserve">resonator </w:t>
      </w:r>
      <w:r>
        <w:rPr>
          <w:sz w:val="15"/>
          <w:vertAlign w:val="baseline"/>
        </w:rPr>
        <w:t>T</w:t>
      </w:r>
      <w:r>
        <w:rPr>
          <w:sz w:val="15"/>
          <w:vertAlign w:val="subscript"/>
        </w:rPr>
        <w:t>o.</w:t>
      </w:r>
    </w:p>
    <w:p>
      <w:pPr>
        <w:pStyle w:val="11"/>
        <w:numPr>
          <w:ilvl w:val="0"/>
          <w:numId w:val="1"/>
        </w:numPr>
        <w:tabs>
          <w:tab w:val="left" w:pos="478"/>
        </w:tabs>
        <w:spacing w:before="1" w:after="0" w:line="240" w:lineRule="auto"/>
        <w:ind w:left="478" w:right="345" w:hanging="360"/>
        <w:jc w:val="both"/>
        <w:rPr>
          <w:sz w:val="15"/>
        </w:rPr>
      </w:pPr>
      <w:r>
        <w:rPr>
          <w:sz w:val="15"/>
        </w:rPr>
        <w:t xml:space="preserve">This equivalent RLC model approximates resonators performance near the resonant frequency and is provided for reference </w:t>
      </w:r>
      <w:r>
        <w:rPr>
          <w:spacing w:val="-3"/>
          <w:sz w:val="15"/>
        </w:rPr>
        <w:t xml:space="preserve">only. </w:t>
      </w:r>
      <w:r>
        <w:rPr>
          <w:sz w:val="15"/>
        </w:rPr>
        <w:t>The capacitance C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 xml:space="preserve"> is the static (non- motional) capacitance between pin 1 and pin 2 measured at low frequency (10MHz) with a capacitance meter. The measurement includes case parasitic capacitance with a floating case. For usual grounded case applications (with ground connected to either pin 1 or pin 2 and to the case), add approximately 0.25pF to</w:t>
      </w:r>
      <w:r>
        <w:rPr>
          <w:spacing w:val="-6"/>
          <w:sz w:val="15"/>
          <w:vertAlign w:val="baseline"/>
        </w:rPr>
        <w:t xml:space="preserve"> </w:t>
      </w:r>
      <w:r>
        <w:rPr>
          <w:sz w:val="15"/>
          <w:vertAlign w:val="baseline"/>
        </w:rPr>
        <w:t>C</w:t>
      </w:r>
      <w:r>
        <w:rPr>
          <w:sz w:val="15"/>
          <w:vertAlign w:val="subscript"/>
        </w:rPr>
        <w:t>o</w:t>
      </w:r>
      <w:r>
        <w:rPr>
          <w:sz w:val="15"/>
          <w:vertAlign w:val="baseline"/>
        </w:rPr>
        <w:t>.</w:t>
      </w:r>
    </w:p>
    <w:p>
      <w:pPr>
        <w:spacing w:after="0" w:line="240" w:lineRule="auto"/>
        <w:jc w:val="both"/>
        <w:rPr>
          <w:sz w:val="15"/>
        </w:rPr>
        <w:sectPr>
          <w:type w:val="continuous"/>
          <w:pgSz w:w="11900" w:h="16840"/>
          <w:pgMar w:top="140" w:right="660" w:bottom="280" w:left="800" w:header="720" w:footer="720" w:gutter="0"/>
          <w:cols w:equalWidth="0" w:num="2">
            <w:col w:w="5453" w:space="307"/>
            <w:col w:w="4680"/>
          </w:cols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360" w:right="660" w:bottom="1180" w:left="800" w:header="1017" w:footer="989" w:gutter="0"/>
        </w:sectPr>
      </w:pPr>
    </w:p>
    <w:p>
      <w:pPr>
        <w:spacing w:before="93"/>
        <w:ind w:left="297" w:right="0" w:firstLine="0"/>
        <w:jc w:val="left"/>
        <w:rPr>
          <w:b/>
          <w:sz w:val="21"/>
        </w:rPr>
      </w:pPr>
      <w:r>
        <w:rPr>
          <w:b/>
          <w:sz w:val="21"/>
        </w:rPr>
        <w:t>Electrical Connections</w:t>
      </w:r>
    </w:p>
    <w:p>
      <w:pPr>
        <w:pStyle w:val="5"/>
        <w:spacing w:before="59" w:line="300" w:lineRule="auto"/>
        <w:ind w:left="297"/>
      </w:pPr>
      <w:r>
        <w:t>This one-port, two-terminal SAW resonator is bi-directional. The terminals are interchangeable with the exception of circuit board layout.</w:t>
      </w:r>
    </w:p>
    <w:p>
      <w:pPr>
        <w:pStyle w:val="5"/>
        <w:spacing w:before="8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109855</wp:posOffset>
                </wp:positionV>
                <wp:extent cx="864870" cy="467995"/>
                <wp:effectExtent l="0" t="0" r="0" b="0"/>
                <wp:wrapTopAndBottom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1348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82"/>
                              <w:gridCol w:w="106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</w:tblPrEx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12"/>
                                    <w:spacing w:before="0" w:line="170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Pin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12"/>
                                    <w:spacing w:before="0" w:line="170" w:lineRule="exact"/>
                                    <w:ind w:left="11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Connection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12"/>
                                    <w:spacing w:before="0" w:line="171" w:lineRule="exact"/>
                                    <w:ind w:left="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12"/>
                                    <w:spacing w:before="0" w:line="171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Terminal 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0" w:line="169" w:lineRule="exact"/>
                                    <w:ind w:left="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2"/>
                                    <w:spacing w:before="0" w:line="169" w:lineRule="exact"/>
                                    <w:ind w:left="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Terminal 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4.65pt;margin-top:8.65pt;height:36.85pt;width:68.1pt;mso-position-horizontal-relative:page;mso-wrap-distance-bottom:0pt;mso-wrap-distance-top:0pt;z-index:-251658240;mso-width-relative:page;mso-height-relative:page;" filled="f" stroked="f" coordsize="21600,21600" o:gfxdata="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wPE93YAAAACQEAAA8AAAAAAAAA&#10;AQAgAAAAIgAAAGRycy9kb3ducmV2LnhtbFBLAQIUABQAAAAIAIdO4kDarhj1nwEAACM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1348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82"/>
                        <w:gridCol w:w="106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6" w:hRule="atLeast"/>
                        </w:trPr>
                        <w:tc>
                          <w:tcPr>
                            <w:tcW w:w="282" w:type="dxa"/>
                          </w:tcPr>
                          <w:p>
                            <w:pPr>
                              <w:pStyle w:val="12"/>
                              <w:spacing w:before="0" w:line="170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Pin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12"/>
                              <w:spacing w:before="0" w:line="170" w:lineRule="exact"/>
                              <w:ind w:left="11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Connection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6" w:hRule="atLeast"/>
                        </w:trPr>
                        <w:tc>
                          <w:tcPr>
                            <w:tcW w:w="282" w:type="dxa"/>
                          </w:tcPr>
                          <w:p>
                            <w:pPr>
                              <w:pStyle w:val="12"/>
                              <w:spacing w:before="0" w:line="171" w:lineRule="exact"/>
                              <w:ind w:left="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12"/>
                              <w:spacing w:before="0" w:line="171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Terminal 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9" w:hRule="atLeast"/>
                        </w:trPr>
                        <w:tc>
                          <w:tcPr>
                            <w:tcW w:w="28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12"/>
                              <w:spacing w:before="0" w:line="169" w:lineRule="exact"/>
                              <w:ind w:left="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12"/>
                              <w:spacing w:before="0" w:line="169" w:lineRule="exact"/>
                              <w:ind w:left="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Terminal 2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2450465</wp:posOffset>
            </wp:positionH>
            <wp:positionV relativeFrom="paragraph">
              <wp:posOffset>171450</wp:posOffset>
            </wp:positionV>
            <wp:extent cx="758190" cy="59118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903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8"/>
        <w:rPr>
          <w:rFonts w:ascii="Times New Roman"/>
        </w:rPr>
      </w:pPr>
      <w:r>
        <w:rPr>
          <w:rFonts w:ascii="Times New Roman"/>
        </w:rPr>
        <w:t>Typical Test Circuit</w:t>
      </w:r>
    </w:p>
    <w:p>
      <w:pPr>
        <w:pStyle w:val="5"/>
        <w:spacing w:before="32" w:line="300" w:lineRule="auto"/>
        <w:ind w:left="298" w:right="572"/>
      </w:pPr>
      <w:r>
        <w:t>The test circuit inductor, L</w:t>
      </w:r>
      <w:r>
        <w:rPr>
          <w:vertAlign w:val="subscript"/>
        </w:rPr>
        <w:t>TEST</w:t>
      </w:r>
      <w:r>
        <w:rPr>
          <w:vertAlign w:val="baseline"/>
        </w:rPr>
        <w:t>, is turn to resonate with the static capacitance, C</w:t>
      </w:r>
      <w:r>
        <w:rPr>
          <w:vertAlign w:val="subscript"/>
        </w:rPr>
        <w:t>o</w:t>
      </w:r>
      <w:r>
        <w:rPr>
          <w:vertAlign w:val="baseline"/>
        </w:rPr>
        <w:t xml:space="preserve"> at F</w:t>
      </w:r>
      <w:r>
        <w:rPr>
          <w:vertAlign w:val="subscript"/>
        </w:rPr>
        <w:t>c</w:t>
      </w:r>
      <w:r>
        <w:rPr>
          <w:vertAlign w:val="baseline"/>
        </w:rPr>
        <w:t>.</w:t>
      </w:r>
    </w:p>
    <w:p>
      <w:pPr>
        <w:spacing w:before="0" w:line="171" w:lineRule="exact"/>
        <w:ind w:left="449" w:right="0" w:firstLine="0"/>
        <w:jc w:val="left"/>
        <w:rPr>
          <w:b/>
          <w:sz w:val="15"/>
        </w:rPr>
      </w:pPr>
      <w:r>
        <w:rPr>
          <w:b/>
          <w:sz w:val="15"/>
        </w:rPr>
        <w:t>Electrical Test:</w:t>
      </w:r>
    </w:p>
    <w:p>
      <w:pPr>
        <w:pStyle w:val="5"/>
        <w:spacing w:before="8"/>
        <w:rPr>
          <w:b/>
          <w:sz w:val="18"/>
        </w:rPr>
      </w:pPr>
    </w:p>
    <w:p>
      <w:pPr>
        <w:spacing w:before="0"/>
        <w:ind w:left="449" w:right="0" w:firstLine="0"/>
        <w:jc w:val="left"/>
        <w:rPr>
          <w:b/>
          <w:sz w:val="15"/>
        </w:rPr>
      </w:pPr>
      <w:r>
        <w:rPr>
          <w:b/>
          <w:sz w:val="15"/>
        </w:rPr>
        <w:t>Power Test:</w:t>
      </w:r>
    </w:p>
    <w:p>
      <w:pPr>
        <w:pStyle w:val="5"/>
        <w:spacing w:before="10"/>
        <w:rPr>
          <w:b/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869950</wp:posOffset>
            </wp:positionH>
            <wp:positionV relativeFrom="paragraph">
              <wp:posOffset>126365</wp:posOffset>
            </wp:positionV>
            <wp:extent cx="2318385" cy="9093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505" cy="90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b/>
          <w:sz w:val="16"/>
        </w:rPr>
      </w:pPr>
    </w:p>
    <w:p>
      <w:pPr>
        <w:pStyle w:val="5"/>
        <w:rPr>
          <w:b/>
          <w:sz w:val="16"/>
        </w:rPr>
      </w:pPr>
    </w:p>
    <w:p>
      <w:pPr>
        <w:pStyle w:val="5"/>
        <w:rPr>
          <w:b/>
          <w:sz w:val="16"/>
        </w:rPr>
      </w:pPr>
    </w:p>
    <w:p>
      <w:pPr>
        <w:pStyle w:val="5"/>
        <w:spacing w:before="2"/>
        <w:rPr>
          <w:b/>
          <w:sz w:val="20"/>
        </w:rPr>
      </w:pPr>
    </w:p>
    <w:p>
      <w:pPr>
        <w:spacing w:before="0"/>
        <w:ind w:left="297" w:right="0" w:firstLine="0"/>
        <w:jc w:val="left"/>
        <w:rPr>
          <w:b/>
          <w:sz w:val="21"/>
        </w:rPr>
      </w:pPr>
      <w:r>
        <w:rPr>
          <w:b/>
          <w:sz w:val="21"/>
        </w:rPr>
        <w:t>Typical Application Circuits</w:t>
      </w:r>
    </w:p>
    <w:p>
      <w:pPr>
        <w:spacing w:before="57"/>
        <w:ind w:left="297" w:right="0" w:firstLine="0"/>
        <w:jc w:val="left"/>
        <w:rPr>
          <w:b/>
          <w:sz w:val="15"/>
        </w:rPr>
      </w:pPr>
      <w:r>
        <w:rPr>
          <w:b/>
          <w:sz w:val="15"/>
        </w:rPr>
        <w:t>Typical Low-Power Transmitter Application:</w:t>
      </w:r>
    </w:p>
    <w:p>
      <w:pPr>
        <w:pStyle w:val="5"/>
        <w:spacing w:before="3"/>
        <w:rPr>
          <w:b/>
          <w:sz w:val="2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969645</wp:posOffset>
            </wp:positionH>
            <wp:positionV relativeFrom="paragraph">
              <wp:posOffset>216535</wp:posOffset>
            </wp:positionV>
            <wp:extent cx="2456180" cy="10299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022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7"/>
        <w:ind w:left="297" w:right="0" w:firstLine="0"/>
        <w:jc w:val="left"/>
        <w:rPr>
          <w:b/>
          <w:sz w:val="15"/>
        </w:rPr>
      </w:pPr>
      <w:r>
        <w:rPr>
          <w:b/>
          <w:sz w:val="15"/>
        </w:rPr>
        <w:t>Typical Local Oscillator Application: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1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715010</wp:posOffset>
            </wp:positionH>
            <wp:positionV relativeFrom="paragraph">
              <wp:posOffset>144145</wp:posOffset>
            </wp:positionV>
            <wp:extent cx="2700655" cy="116459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449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0"/>
        <w:rPr>
          <w:b/>
          <w:sz w:val="14"/>
        </w:rPr>
      </w:pPr>
    </w:p>
    <w:p>
      <w:pPr>
        <w:spacing w:before="0"/>
        <w:ind w:left="478" w:right="0" w:firstLine="0"/>
        <w:jc w:val="left"/>
        <w:rPr>
          <w:b/>
          <w:sz w:val="21"/>
        </w:rPr>
      </w:pPr>
      <w:r>
        <w:rPr>
          <w:b/>
          <w:sz w:val="21"/>
        </w:rPr>
        <w:t>Temperature Characteristics</w:t>
      </w:r>
    </w:p>
    <w:p>
      <w:pPr>
        <w:pStyle w:val="5"/>
        <w:spacing w:before="59" w:line="300" w:lineRule="auto"/>
        <w:ind w:left="478" w:right="397"/>
        <w:jc w:val="both"/>
      </w:pPr>
      <w:r>
        <w:t>The curve shown on the right accounts for resonator contribution only and does not include oscillator temperature characteristics.</w:t>
      </w:r>
    </w:p>
    <w:p>
      <w:pPr>
        <w:pStyle w:val="3"/>
        <w:spacing w:before="93"/>
      </w:pPr>
      <w:r>
        <w:rPr>
          <w:b w:val="0"/>
        </w:rPr>
        <w:br w:type="column"/>
      </w:r>
      <w:r>
        <w:t>Equivalent LC Model</w:t>
      </w:r>
    </w:p>
    <w:p>
      <w:pPr>
        <w:pStyle w:val="5"/>
        <w:spacing w:before="59"/>
        <w:ind w:left="297"/>
      </w:pPr>
      <w:r>
        <w:t>The following equivalent LC model is valid near resonance:</w:t>
      </w:r>
    </w:p>
    <w:p>
      <w:pPr>
        <w:pStyle w:val="5"/>
        <w:spacing w:before="10"/>
        <w:rPr>
          <w:sz w:val="7"/>
        </w:rPr>
      </w:pPr>
    </w:p>
    <w:p>
      <w:pPr>
        <w:pStyle w:val="5"/>
        <w:ind w:left="383"/>
        <w:rPr>
          <w:sz w:val="20"/>
        </w:rPr>
      </w:pPr>
      <w:r>
        <w:rPr>
          <w:sz w:val="20"/>
        </w:rPr>
        <w:drawing>
          <wp:inline distT="0" distB="0" distL="0" distR="0">
            <wp:extent cx="1771015" cy="89598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396" cy="89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16"/>
        </w:rPr>
      </w:pPr>
    </w:p>
    <w:p>
      <w:pPr>
        <w:pStyle w:val="5"/>
        <w:spacing w:before="8"/>
      </w:pPr>
    </w:p>
    <w:p>
      <w:pPr>
        <w:pStyle w:val="3"/>
      </w:pPr>
      <w:r>
        <w:t>Case Design</w:t>
      </w:r>
    </w:p>
    <w:p>
      <w:pPr>
        <w:pStyle w:val="5"/>
        <w:rPr>
          <w:b/>
          <w:sz w:val="12"/>
        </w:rPr>
      </w:pPr>
    </w:p>
    <w:p>
      <w:pPr>
        <w:pStyle w:val="5"/>
        <w:ind w:left="416"/>
        <w:rPr>
          <w:sz w:val="20"/>
        </w:rPr>
      </w:pPr>
      <w:r>
        <w:rPr>
          <w:sz w:val="20"/>
        </w:rPr>
        <w:drawing>
          <wp:inline distT="0" distB="0" distL="0" distR="0">
            <wp:extent cx="1416050" cy="222059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133" cy="22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b/>
          <w:sz w:val="22"/>
        </w:rPr>
      </w:pPr>
    </w:p>
    <w:p>
      <w:pPr>
        <w:pStyle w:val="5"/>
        <w:rPr>
          <w:b/>
          <w:sz w:val="22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before="4"/>
        <w:rPr>
          <w:b/>
          <w:sz w:val="17"/>
        </w:rPr>
      </w:pPr>
    </w:p>
    <w:p>
      <w:pPr>
        <w:spacing w:before="1"/>
        <w:ind w:left="477" w:right="0" w:firstLine="0"/>
        <w:jc w:val="left"/>
        <w:rPr>
          <w:b/>
          <w:sz w:val="21"/>
        </w:rPr>
      </w:pPr>
      <w:r>
        <w:rPr>
          <w:b/>
          <w:sz w:val="21"/>
        </w:rPr>
        <w:t>Frequency Response</w:t>
      </w:r>
    </w:p>
    <w:p>
      <w:pPr>
        <w:pStyle w:val="5"/>
        <w:rPr>
          <w:b/>
          <w:sz w:val="2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4248785</wp:posOffset>
            </wp:positionH>
            <wp:positionV relativeFrom="paragraph">
              <wp:posOffset>200025</wp:posOffset>
            </wp:positionV>
            <wp:extent cx="2703830" cy="230441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643" cy="230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type w:val="continuous"/>
          <w:pgSz w:w="11900" w:h="16840"/>
          <w:pgMar w:top="140" w:right="660" w:bottom="280" w:left="800" w:header="720" w:footer="720" w:gutter="0"/>
          <w:cols w:equalWidth="0" w:num="2">
            <w:col w:w="5091" w:space="309"/>
            <w:col w:w="5040"/>
          </w:cols>
        </w:sectPr>
      </w:pPr>
    </w:p>
    <w:p>
      <w:pPr>
        <w:pStyle w:val="5"/>
        <w:spacing w:before="10"/>
        <w:rPr>
          <w:b/>
          <w:sz w:val="6"/>
        </w:rPr>
      </w:pPr>
    </w:p>
    <w:p>
      <w:pPr>
        <w:pStyle w:val="5"/>
        <w:ind w:left="531"/>
        <w:rPr>
          <w:sz w:val="20"/>
        </w:rPr>
      </w:pPr>
      <w:r>
        <w:rPr>
          <w:sz w:val="20"/>
        </w:rPr>
        <w:drawing>
          <wp:inline distT="0" distB="0" distL="0" distR="0">
            <wp:extent cx="1760220" cy="85344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832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top="140" w:right="660" w:bottom="280" w:left="800" w:header="720" w:footer="720" w:gutter="0"/>
        </w:sectPr>
      </w:pPr>
    </w:p>
    <w:p>
      <w:pPr>
        <w:pStyle w:val="5"/>
        <w:spacing w:before="2"/>
        <w:rPr>
          <w:b/>
          <w:sz w:val="18"/>
        </w:rPr>
      </w:pPr>
    </w:p>
    <w:p>
      <w:pPr>
        <w:spacing w:before="93"/>
        <w:ind w:left="334" w:right="0" w:firstLine="0"/>
        <w:jc w:val="left"/>
        <w:rPr>
          <w:b/>
          <w:sz w:val="21"/>
        </w:rPr>
      </w:pPr>
      <w:r>
        <w:rPr>
          <w:b/>
          <w:sz w:val="21"/>
        </w:rPr>
        <w:t>Taping structure</w:t>
      </w:r>
    </w:p>
    <w:p>
      <w:pPr>
        <w:pStyle w:val="5"/>
        <w:rPr>
          <w:b/>
          <w:sz w:val="22"/>
        </w:rPr>
      </w:pPr>
    </w:p>
    <w:p>
      <w:pPr>
        <w:pStyle w:val="5"/>
        <w:spacing w:before="188"/>
        <w:ind w:left="334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302895</wp:posOffset>
            </wp:positionV>
            <wp:extent cx="6078220" cy="388239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137" cy="388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Componet load per 7’ reel: 1000pcs</w:t>
      </w:r>
    </w:p>
    <w:sectPr>
      <w:pgSz w:w="11900" w:h="16840"/>
      <w:pgMar w:top="1360" w:right="660" w:bottom="1180" w:left="800" w:header="1017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9366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9919970</wp:posOffset>
              </wp:positionV>
              <wp:extent cx="107950" cy="152400"/>
              <wp:effectExtent l="0" t="0" r="0" b="0"/>
              <wp:wrapNone/>
              <wp:docPr id="1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532.05pt;margin-top:781.1pt;height:12pt;width:8.5pt;mso-position-horizontal-relative:page;mso-position-vertical-relative:page;z-index:-252322816;mso-width-relative:page;mso-height-relative:page;" filled="f" stroked="f" coordsize="21600,21600" o:gfxdata="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kcHSE2gAAAA8BAAAPAAAAAAAA&#10;AAEAIAAAACIAAABkcnMvZG93bnJldi54bWxQSwECFAAUAAAACACHTuJASk6SGZ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99059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862330</wp:posOffset>
              </wp:positionV>
              <wp:extent cx="6158230" cy="0"/>
              <wp:effectExtent l="0" t="0" r="0" b="0"/>
              <wp:wrapNone/>
              <wp:docPr id="10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55.2pt;margin-top:67.9pt;height:0pt;width:484.9pt;mso-position-horizontal-relative:page;mso-position-vertical-relative:page;z-index:-252325888;mso-width-relative:page;mso-height-relative:page;" filled="f" stroked="t" coordsize="21600,21600" o:gfxdata="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pBdp1gAAAAwBAAAPAAAAAAAAAAEAIAAAACIAAABkcnMv&#10;ZG93bnJldi54bWxQSwECFAAUAAAACACHTuJA0UXKmcwBAACOAwAADgAAAAAAAAABACAAAAAlAQAA&#10;ZHJzL2Uyb0RvYy54bWxQSwUGAAAAAAYABgBZAQAAYwUAAAAA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9161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633095</wp:posOffset>
              </wp:positionV>
              <wp:extent cx="973455" cy="213360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345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" w:line="333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110"/>
                              <w:sz w:val="29"/>
                            </w:rPr>
                            <w:t>315.00MHz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5.7pt;margin-top:49.85pt;height:16.8pt;width:76.65pt;mso-position-horizontal-relative:page;mso-position-vertical-relative:page;z-index:-252324864;mso-width-relative:page;mso-height-relative:page;" filled="f" stroked="f" coordsize="21600,21600" o:gfxdata="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nQbjj2AAAAAoBAAAPAAAAAAAA&#10;AAEAIAAAACIAAABkcnMvZG93bnJldi54bWxQSwECFAAUAAAACACHTuJAYII2PqABAAAk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" w:line="333" w:lineRule="exact"/>
                      <w:ind w:left="20" w:right="0" w:firstLine="0"/>
                      <w:jc w:val="left"/>
                      <w:rPr>
                        <w:rFonts w:ascii="Times New Roman"/>
                        <w:i/>
                        <w:sz w:val="29"/>
                      </w:rPr>
                    </w:pPr>
                    <w:r>
                      <w:rPr>
                        <w:rFonts w:ascii="Times New Roman"/>
                        <w:i/>
                        <w:w w:val="110"/>
                        <w:sz w:val="29"/>
                      </w:rPr>
                      <w:t>315.00MHz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992640" behindDoc="1" locked="0" layoutInCell="1" allowOverlap="1">
              <wp:simplePos x="0" y="0"/>
              <wp:positionH relativeFrom="page">
                <wp:posOffset>5405120</wp:posOffset>
              </wp:positionH>
              <wp:positionV relativeFrom="page">
                <wp:posOffset>633095</wp:posOffset>
              </wp:positionV>
              <wp:extent cx="1332865" cy="21336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86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" w:line="333" w:lineRule="exact"/>
                            <w:ind w:left="20" w:right="0" w:firstLine="0"/>
                            <w:jc w:val="left"/>
                            <w:rPr>
                              <w:rFonts w:ascii="Times New Roman"/>
                              <w:i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3"/>
                              <w:w w:val="115"/>
                              <w:sz w:val="29"/>
                            </w:rPr>
                            <w:t>SAW Resonator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25.6pt;margin-top:49.85pt;height:16.8pt;width:104.95pt;mso-position-horizontal-relative:page;mso-position-vertical-relative:page;z-index:-252323840;mso-width-relative:page;mso-height-relative:page;" filled="f" stroked="f" coordsize="21600,21600" o:gfxdata="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TJdon2gAAAAsBAAAPAAAAAAAA&#10;AAEAIAAAACIAAABkcnMvZG93bnJldi54bWxQSwECFAAUAAAACACHTuJAF44uY54BAAAl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" w:line="333" w:lineRule="exact"/>
                      <w:ind w:left="20" w:right="0" w:firstLine="0"/>
                      <w:jc w:val="left"/>
                      <w:rPr>
                        <w:rFonts w:ascii="Times New Roman"/>
                        <w:i/>
                        <w:sz w:val="29"/>
                      </w:rPr>
                    </w:pPr>
                    <w:r>
                      <w:rPr>
                        <w:rFonts w:ascii="Times New Roman"/>
                        <w:i/>
                        <w:spacing w:val="-3"/>
                        <w:w w:val="115"/>
                        <w:sz w:val="29"/>
                      </w:rPr>
                      <w:t>SAW Resonator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 w:cs="Arial"/>
        <w:w w:val="99"/>
        <w:sz w:val="15"/>
        <w:szCs w:val="15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977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85CF0"/>
    <w:rsid w:val="6D691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82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97"/>
      <w:outlineLvl w:val="2"/>
    </w:pPr>
    <w:rPr>
      <w:rFonts w:ascii="Arial" w:hAnsi="Arial" w:eastAsia="Arial" w:cs="Arial"/>
      <w:b/>
      <w:bCs/>
      <w:sz w:val="21"/>
      <w:szCs w:val="21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spacing w:before="1"/>
      <w:ind w:left="515"/>
      <w:outlineLvl w:val="3"/>
    </w:pPr>
    <w:rPr>
      <w:rFonts w:ascii="Arial" w:hAnsi="Arial" w:eastAsia="Arial" w:cs="Arial"/>
      <w:b/>
      <w:bCs/>
      <w:i/>
      <w:sz w:val="18"/>
      <w:szCs w:val="18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5"/>
      <w:szCs w:val="15"/>
      <w:lang w:val="en-US" w:eastAsia="en-US" w:bidi="en-US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"/>
      <w:ind w:left="478" w:right="39" w:hanging="360"/>
      <w:jc w:val="both"/>
    </w:pPr>
    <w:rPr>
      <w:rFonts w:ascii="Arial" w:hAnsi="Arial" w:eastAsia="Arial" w:cs="Arial"/>
      <w:lang w:val="en-US" w:eastAsia="en-US" w:bidi="en-US"/>
    </w:rPr>
  </w:style>
  <w:style w:type="paragraph" w:customStyle="1" w:styleId="12">
    <w:name w:val="Table Paragraph"/>
    <w:basedOn w:val="1"/>
    <w:qFormat/>
    <w:uiPriority w:val="1"/>
    <w:pPr>
      <w:spacing w:before="6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2019-03-26T06:41:00Z</dcterms:created>
  <dc:creator>lenovo</dc:creator>
  <cp:lastModifiedBy>精工晶振官方代理商</cp:lastModifiedBy>
  <dcterms:modified xsi:type="dcterms:W3CDTF">2019-03-26T06:46:08Z</dcterms:modified>
  <dc:title>Microsoft Word - R315T2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2013-03-04T00:00:00Z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2019-03-26T00:00:00Z</vt:filetime>
  </property>
  <property fmtid="{D5CDD505-2E9C-101B-9397-08002B2CF9AE}" pid="5" name="KSOProductBuildVer">
    <vt:lpwstr>2052-11.1.0.8567</vt:lpwstr>
  </property>
</Properties>
</file>